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A14E" w14:textId="3779FBB5" w:rsidR="00015032" w:rsidRPr="006D1FF6" w:rsidRDefault="00015032" w:rsidP="001B6B0F">
      <w:pPr>
        <w:jc w:val="center"/>
        <w:rPr>
          <w:b/>
          <w:sz w:val="24"/>
          <w:szCs w:val="24"/>
        </w:rPr>
      </w:pPr>
      <w:r w:rsidRPr="006D1FF6">
        <w:rPr>
          <w:b/>
          <w:sz w:val="24"/>
          <w:szCs w:val="24"/>
        </w:rPr>
        <w:t>TASMANIAN HEALTH CONSUMER ORGANISATION</w:t>
      </w:r>
      <w:bookmarkStart w:id="0" w:name="_GoBack"/>
      <w:bookmarkEnd w:id="0"/>
    </w:p>
    <w:p w14:paraId="03423D47" w14:textId="77777777" w:rsidR="00015032" w:rsidRPr="006D1FF6" w:rsidRDefault="00015032" w:rsidP="00015032">
      <w:pPr>
        <w:jc w:val="center"/>
        <w:rPr>
          <w:b/>
          <w:sz w:val="24"/>
          <w:szCs w:val="24"/>
        </w:rPr>
      </w:pPr>
      <w:r w:rsidRPr="006D1FF6">
        <w:rPr>
          <w:b/>
          <w:sz w:val="24"/>
          <w:szCs w:val="24"/>
        </w:rPr>
        <w:t>IMPLEMENTATION ADVISORY GROUP – MEETING</w:t>
      </w:r>
      <w:r>
        <w:rPr>
          <w:b/>
          <w:sz w:val="24"/>
          <w:szCs w:val="24"/>
        </w:rPr>
        <w:t xml:space="preserve"> 4</w:t>
      </w:r>
    </w:p>
    <w:p w14:paraId="1F358B10" w14:textId="77777777" w:rsidR="00015032" w:rsidRPr="00702ECD" w:rsidRDefault="00015032" w:rsidP="00015032">
      <w:pPr>
        <w:jc w:val="center"/>
        <w:rPr>
          <w:b/>
          <w:sz w:val="24"/>
          <w:szCs w:val="24"/>
        </w:rPr>
      </w:pPr>
      <w:r w:rsidRPr="00702ECD">
        <w:rPr>
          <w:b/>
          <w:sz w:val="24"/>
          <w:szCs w:val="24"/>
        </w:rPr>
        <w:t>MINUTES</w:t>
      </w:r>
    </w:p>
    <w:p w14:paraId="6424961E" w14:textId="77777777" w:rsidR="00015032" w:rsidRPr="008B4155" w:rsidRDefault="00015032" w:rsidP="00015032">
      <w:pPr>
        <w:jc w:val="center"/>
        <w:rPr>
          <w:sz w:val="24"/>
          <w:szCs w:val="24"/>
        </w:rPr>
      </w:pPr>
      <w:r>
        <w:rPr>
          <w:sz w:val="24"/>
          <w:szCs w:val="24"/>
        </w:rPr>
        <w:t>27 March 2019, 1/8</w:t>
      </w:r>
      <w:r w:rsidRPr="008B4155">
        <w:rPr>
          <w:sz w:val="24"/>
          <w:szCs w:val="24"/>
        </w:rPr>
        <w:t>9 Brisbane St, Hobart</w:t>
      </w:r>
    </w:p>
    <w:p w14:paraId="6A9FDB4E" w14:textId="77777777" w:rsidR="00015032" w:rsidRDefault="00015032" w:rsidP="00015032">
      <w:pPr>
        <w:pBdr>
          <w:bottom w:val="single" w:sz="4" w:space="1" w:color="auto"/>
        </w:pBdr>
        <w:rPr>
          <w:b/>
        </w:rPr>
      </w:pPr>
    </w:p>
    <w:p w14:paraId="11AD3A72" w14:textId="77777777" w:rsidR="00015032" w:rsidRDefault="00015032" w:rsidP="00015032">
      <w:r w:rsidRPr="00702ECD">
        <w:rPr>
          <w:b/>
        </w:rPr>
        <w:t>Present:</w:t>
      </w:r>
      <w:r>
        <w:t xml:space="preserve"> John Pauley (Consumer Representative,), Bruce Levett (Tasmanian HCO - chair), Graeme Lynch (Heart Foundation), Kate Griggs (Consumer Representative), Darren Jiggins (Consumer representative), Sue Leitch (COTA), Penny Egan (Cancer Council Tasmania),</w:t>
      </w:r>
      <w:r w:rsidRPr="00515BA7">
        <w:t xml:space="preserve"> </w:t>
      </w:r>
      <w:r>
        <w:t>Mathew Etherington (Consumer Representative).</w:t>
      </w:r>
    </w:p>
    <w:p w14:paraId="3DA7EB99" w14:textId="77777777" w:rsidR="00015032" w:rsidRDefault="00015032" w:rsidP="00015032">
      <w:r w:rsidRPr="006D1FF6">
        <w:rPr>
          <w:b/>
        </w:rPr>
        <w:t>Apologies:</w:t>
      </w:r>
      <w:r>
        <w:t xml:space="preserve"> Leanne Wells (CHF), Klaus Baur (Flourish Tasmania), Simone Favelle (Carers Tasmania),</w:t>
      </w:r>
      <w:r w:rsidRPr="007051E2">
        <w:t xml:space="preserve"> </w:t>
      </w:r>
      <w:r>
        <w:t>Elida Meadows (Consumer Representative), Anita Campbell (Consumer Representative), Charlie Burton (</w:t>
      </w:r>
      <w:proofErr w:type="spellStart"/>
      <w:r>
        <w:t>TasCOSS</w:t>
      </w:r>
      <w:proofErr w:type="spellEnd"/>
      <w:r>
        <w:t xml:space="preserve">), Claire </w:t>
      </w:r>
      <w:proofErr w:type="spellStart"/>
      <w:r>
        <w:t>Hadolt</w:t>
      </w:r>
      <w:proofErr w:type="spellEnd"/>
      <w:r>
        <w:t xml:space="preserve"> (Consumer Representative).</w:t>
      </w:r>
    </w:p>
    <w:p w14:paraId="6E0631A8" w14:textId="77777777" w:rsidR="00015032" w:rsidRDefault="00015032" w:rsidP="00015032"/>
    <w:tbl>
      <w:tblPr>
        <w:tblStyle w:val="TableGrid"/>
        <w:tblW w:w="0" w:type="auto"/>
        <w:tblLook w:val="04A0" w:firstRow="1" w:lastRow="0" w:firstColumn="1" w:lastColumn="0" w:noHBand="0" w:noVBand="1"/>
      </w:tblPr>
      <w:tblGrid>
        <w:gridCol w:w="2689"/>
        <w:gridCol w:w="6327"/>
      </w:tblGrid>
      <w:tr w:rsidR="00015032" w14:paraId="3254C229" w14:textId="77777777" w:rsidTr="009D1672">
        <w:tc>
          <w:tcPr>
            <w:tcW w:w="2689" w:type="dxa"/>
          </w:tcPr>
          <w:p w14:paraId="7EABFB81" w14:textId="77777777" w:rsidR="00015032" w:rsidRPr="006D1FF6" w:rsidRDefault="00015032" w:rsidP="009D1672">
            <w:pPr>
              <w:rPr>
                <w:b/>
              </w:rPr>
            </w:pPr>
            <w:r w:rsidRPr="006D1FF6">
              <w:rPr>
                <w:b/>
              </w:rPr>
              <w:t>Item 1</w:t>
            </w:r>
          </w:p>
          <w:p w14:paraId="26DC7F46" w14:textId="77777777" w:rsidR="00015032" w:rsidRDefault="00015032" w:rsidP="009D1672">
            <w:r>
              <w:t>Welcome and Introduction – Bruce Levett (Chair)</w:t>
            </w:r>
          </w:p>
          <w:p w14:paraId="740B5A32" w14:textId="77777777" w:rsidR="00015032" w:rsidRDefault="00015032" w:rsidP="009D1672"/>
          <w:p w14:paraId="72903216" w14:textId="77777777" w:rsidR="00015032" w:rsidRDefault="00015032" w:rsidP="009D1672">
            <w:pPr>
              <w:rPr>
                <w:sz w:val="20"/>
                <w:szCs w:val="20"/>
              </w:rPr>
            </w:pPr>
            <w:r w:rsidRPr="009D533E">
              <w:rPr>
                <w:b/>
                <w:sz w:val="20"/>
                <w:szCs w:val="20"/>
              </w:rPr>
              <w:t>Attachment:</w:t>
            </w:r>
            <w:r w:rsidRPr="00F15763">
              <w:rPr>
                <w:sz w:val="20"/>
                <w:szCs w:val="20"/>
              </w:rPr>
              <w:t xml:space="preserve"> </w:t>
            </w:r>
            <w:r>
              <w:rPr>
                <w:sz w:val="20"/>
                <w:szCs w:val="20"/>
              </w:rPr>
              <w:t>Minutes of Meeting 3</w:t>
            </w:r>
            <w:r w:rsidRPr="00F15763">
              <w:rPr>
                <w:sz w:val="20"/>
                <w:szCs w:val="20"/>
              </w:rPr>
              <w:t>.</w:t>
            </w:r>
          </w:p>
          <w:p w14:paraId="20DE74FF" w14:textId="77777777" w:rsidR="00015032" w:rsidRDefault="00015032" w:rsidP="009D1672"/>
        </w:tc>
        <w:tc>
          <w:tcPr>
            <w:tcW w:w="6327" w:type="dxa"/>
          </w:tcPr>
          <w:p w14:paraId="113B2FFC" w14:textId="77777777" w:rsidR="00015032" w:rsidRDefault="00015032" w:rsidP="009D1672">
            <w:r>
              <w:t>Welcome comments included:</w:t>
            </w:r>
          </w:p>
          <w:p w14:paraId="26AC85C1" w14:textId="77777777" w:rsidR="00015032" w:rsidRDefault="00015032" w:rsidP="006756C0">
            <w:pPr>
              <w:pStyle w:val="ListParagraph"/>
              <w:numPr>
                <w:ilvl w:val="0"/>
                <w:numId w:val="5"/>
              </w:numPr>
            </w:pPr>
            <w:r>
              <w:t>All actions from Meeting 3 completed.</w:t>
            </w:r>
          </w:p>
          <w:p w14:paraId="43940139" w14:textId="77777777" w:rsidR="00015032" w:rsidRDefault="00015032" w:rsidP="006756C0">
            <w:pPr>
              <w:pStyle w:val="ListParagraph"/>
              <w:numPr>
                <w:ilvl w:val="0"/>
                <w:numId w:val="5"/>
              </w:numPr>
            </w:pPr>
            <w:r>
              <w:t>Minutes of Meeting 3 endorsed.</w:t>
            </w:r>
          </w:p>
          <w:p w14:paraId="1FFFC5D2" w14:textId="77777777" w:rsidR="00015032" w:rsidRDefault="00015032" w:rsidP="009D1672">
            <w:pPr>
              <w:pStyle w:val="ListParagraph"/>
            </w:pPr>
          </w:p>
        </w:tc>
      </w:tr>
      <w:tr w:rsidR="00015032" w14:paraId="4FDBC0A5" w14:textId="77777777" w:rsidTr="009D1672">
        <w:tc>
          <w:tcPr>
            <w:tcW w:w="2689" w:type="dxa"/>
          </w:tcPr>
          <w:p w14:paraId="78A9738F" w14:textId="77777777" w:rsidR="00015032" w:rsidRPr="006D1FF6" w:rsidRDefault="00015032" w:rsidP="009D1672">
            <w:pPr>
              <w:rPr>
                <w:b/>
              </w:rPr>
            </w:pPr>
            <w:r w:rsidRPr="006D1FF6">
              <w:rPr>
                <w:b/>
              </w:rPr>
              <w:t xml:space="preserve">Item </w:t>
            </w:r>
            <w:r>
              <w:rPr>
                <w:b/>
              </w:rPr>
              <w:t>2</w:t>
            </w:r>
            <w:r w:rsidRPr="006D1FF6">
              <w:rPr>
                <w:b/>
              </w:rPr>
              <w:t xml:space="preserve">. </w:t>
            </w:r>
          </w:p>
          <w:p w14:paraId="17C33EE5" w14:textId="77777777" w:rsidR="00015032" w:rsidRDefault="00015032" w:rsidP="009D1672">
            <w:r>
              <w:t>Constitution Principles</w:t>
            </w:r>
          </w:p>
          <w:p w14:paraId="38509A1A" w14:textId="77777777" w:rsidR="00015032" w:rsidRDefault="00015032" w:rsidP="009D1672"/>
          <w:p w14:paraId="0734B928" w14:textId="77777777" w:rsidR="00015032" w:rsidRDefault="00015032" w:rsidP="009D1672">
            <w:pPr>
              <w:rPr>
                <w:sz w:val="20"/>
                <w:szCs w:val="20"/>
              </w:rPr>
            </w:pPr>
            <w:r w:rsidRPr="00C63008">
              <w:rPr>
                <w:b/>
                <w:sz w:val="20"/>
                <w:szCs w:val="20"/>
              </w:rPr>
              <w:t>Attachment:</w:t>
            </w:r>
            <w:r w:rsidRPr="00F15763">
              <w:rPr>
                <w:sz w:val="20"/>
                <w:szCs w:val="20"/>
              </w:rPr>
              <w:t xml:space="preserve"> </w:t>
            </w:r>
            <w:r>
              <w:rPr>
                <w:sz w:val="20"/>
                <w:szCs w:val="20"/>
              </w:rPr>
              <w:t>Building a constitution</w:t>
            </w:r>
          </w:p>
          <w:p w14:paraId="0CAFE19E" w14:textId="77777777" w:rsidR="00015032" w:rsidRDefault="00015032" w:rsidP="009D1672">
            <w:pPr>
              <w:rPr>
                <w:sz w:val="20"/>
                <w:szCs w:val="20"/>
              </w:rPr>
            </w:pPr>
          </w:p>
          <w:p w14:paraId="526F12B6" w14:textId="77777777" w:rsidR="00015032" w:rsidRPr="00F15763" w:rsidRDefault="00015032" w:rsidP="009D1672">
            <w:pPr>
              <w:rPr>
                <w:sz w:val="20"/>
                <w:szCs w:val="20"/>
              </w:rPr>
            </w:pPr>
            <w:r w:rsidRPr="00C63008">
              <w:rPr>
                <w:b/>
                <w:sz w:val="20"/>
                <w:szCs w:val="20"/>
              </w:rPr>
              <w:t>Decision:</w:t>
            </w:r>
            <w:r>
              <w:rPr>
                <w:sz w:val="20"/>
                <w:szCs w:val="20"/>
              </w:rPr>
              <w:t xml:space="preserve"> Endorsed subject to changes</w:t>
            </w:r>
          </w:p>
        </w:tc>
        <w:tc>
          <w:tcPr>
            <w:tcW w:w="6327" w:type="dxa"/>
          </w:tcPr>
          <w:p w14:paraId="0A2D9F52" w14:textId="77777777" w:rsidR="00015032" w:rsidRPr="00437B17" w:rsidRDefault="00015032" w:rsidP="009D1672">
            <w:pPr>
              <w:rPr>
                <w:b/>
              </w:rPr>
            </w:pPr>
            <w:r w:rsidRPr="00437B17">
              <w:rPr>
                <w:b/>
              </w:rPr>
              <w:t>C. Aims or Objects of the Constitution</w:t>
            </w:r>
          </w:p>
          <w:p w14:paraId="1345C00B" w14:textId="77777777" w:rsidR="00015032" w:rsidRDefault="00015032" w:rsidP="009D1672"/>
          <w:p w14:paraId="75E522C3" w14:textId="77777777" w:rsidR="00015032" w:rsidRDefault="00015032" w:rsidP="009D1672">
            <w:r>
              <w:t xml:space="preserve">The 7 objects listed for discussion at meeting 3 were condensed into 5 objects. </w:t>
            </w:r>
          </w:p>
          <w:p w14:paraId="72737897" w14:textId="77777777" w:rsidR="00015032" w:rsidRDefault="00015032" w:rsidP="009D1672"/>
          <w:p w14:paraId="52E62C78" w14:textId="77777777" w:rsidR="00015032" w:rsidRDefault="00015032" w:rsidP="009D1672">
            <w:r>
              <w:t>Discussion centred around:</w:t>
            </w:r>
          </w:p>
          <w:p w14:paraId="6344DBEC" w14:textId="77777777" w:rsidR="00015032" w:rsidRDefault="00015032" w:rsidP="006756C0">
            <w:pPr>
              <w:pStyle w:val="ListParagraph"/>
              <w:numPr>
                <w:ilvl w:val="0"/>
                <w:numId w:val="28"/>
              </w:numPr>
            </w:pPr>
            <w:r>
              <w:t xml:space="preserve">Endorsed the word “build” in object 1 as the aim is to continually build the consumer voice.  </w:t>
            </w:r>
          </w:p>
          <w:p w14:paraId="63B5CEE3" w14:textId="77777777" w:rsidR="00015032" w:rsidRDefault="00015032" w:rsidP="006756C0">
            <w:pPr>
              <w:pStyle w:val="ListParagraph"/>
              <w:numPr>
                <w:ilvl w:val="0"/>
                <w:numId w:val="28"/>
              </w:numPr>
            </w:pPr>
            <w:r>
              <w:t>Incorporate quality health into Object 1.</w:t>
            </w:r>
          </w:p>
          <w:p w14:paraId="50CED8B8" w14:textId="77777777" w:rsidR="00015032" w:rsidRDefault="00015032" w:rsidP="006756C0">
            <w:pPr>
              <w:pStyle w:val="ListParagraph"/>
              <w:numPr>
                <w:ilvl w:val="0"/>
                <w:numId w:val="28"/>
              </w:numPr>
            </w:pPr>
            <w:r>
              <w:t>Object 2 endorsed at meeting 3.</w:t>
            </w:r>
          </w:p>
          <w:p w14:paraId="2A5CE728" w14:textId="77777777" w:rsidR="00015032" w:rsidRDefault="00015032" w:rsidP="006756C0">
            <w:pPr>
              <w:pStyle w:val="ListParagraph"/>
              <w:numPr>
                <w:ilvl w:val="0"/>
                <w:numId w:val="28"/>
              </w:numPr>
            </w:pPr>
            <w:r>
              <w:t>Object 3 – “consensus” was discussed in the context that there may be situations where consensus isn’t possible – this is about gaining acceptance.</w:t>
            </w:r>
          </w:p>
          <w:p w14:paraId="491CBAFA" w14:textId="77777777" w:rsidR="00015032" w:rsidRDefault="00015032" w:rsidP="006756C0">
            <w:pPr>
              <w:pStyle w:val="ListParagraph"/>
              <w:numPr>
                <w:ilvl w:val="0"/>
                <w:numId w:val="28"/>
              </w:numPr>
            </w:pPr>
            <w:r>
              <w:t>Object 4 – consider the words “well informed” and “skilled” to replace effective in describing consumer participation</w:t>
            </w:r>
          </w:p>
          <w:p w14:paraId="6E3DF3AA" w14:textId="77777777" w:rsidR="00015032" w:rsidRDefault="00015032" w:rsidP="006756C0">
            <w:pPr>
              <w:pStyle w:val="ListParagraph"/>
              <w:numPr>
                <w:ilvl w:val="0"/>
                <w:numId w:val="28"/>
              </w:numPr>
            </w:pPr>
            <w:r>
              <w:t>Object 5 – consider incorporating safe into the descriptors and replace social determinants of health with a definition of what it actually means.</w:t>
            </w:r>
          </w:p>
          <w:p w14:paraId="59B9C1B5" w14:textId="77777777" w:rsidR="00015032" w:rsidRDefault="00015032" w:rsidP="009D1672">
            <w:pPr>
              <w:pStyle w:val="ListParagraph"/>
            </w:pPr>
          </w:p>
          <w:p w14:paraId="46492DD2" w14:textId="77777777" w:rsidR="00015032" w:rsidRPr="001B6E34" w:rsidRDefault="00015032" w:rsidP="009D1672">
            <w:pPr>
              <w:rPr>
                <w:b/>
              </w:rPr>
            </w:pPr>
            <w:r w:rsidRPr="001B6E34">
              <w:rPr>
                <w:b/>
              </w:rPr>
              <w:t>Key Actions:</w:t>
            </w:r>
          </w:p>
          <w:p w14:paraId="006FAECE" w14:textId="77777777" w:rsidR="00015032" w:rsidRDefault="00015032" w:rsidP="006756C0">
            <w:pPr>
              <w:pStyle w:val="ListParagraph"/>
              <w:numPr>
                <w:ilvl w:val="0"/>
                <w:numId w:val="30"/>
              </w:numPr>
            </w:pPr>
            <w:r>
              <w:t>Update Objects based on the above feedback.</w:t>
            </w:r>
          </w:p>
          <w:p w14:paraId="0CF28B6E" w14:textId="77777777" w:rsidR="00015032" w:rsidRDefault="00015032" w:rsidP="009D1672"/>
        </w:tc>
      </w:tr>
      <w:tr w:rsidR="00015032" w14:paraId="15CE6C29" w14:textId="77777777" w:rsidTr="009D1672">
        <w:tc>
          <w:tcPr>
            <w:tcW w:w="2689" w:type="dxa"/>
          </w:tcPr>
          <w:p w14:paraId="3C7A50EF" w14:textId="77777777" w:rsidR="00015032" w:rsidRPr="001B6E34" w:rsidRDefault="00015032" w:rsidP="009D1672">
            <w:pPr>
              <w:rPr>
                <w:sz w:val="20"/>
                <w:szCs w:val="20"/>
              </w:rPr>
            </w:pPr>
            <w:r>
              <w:rPr>
                <w:sz w:val="20"/>
                <w:szCs w:val="20"/>
              </w:rPr>
              <w:t xml:space="preserve"> </w:t>
            </w:r>
          </w:p>
        </w:tc>
        <w:tc>
          <w:tcPr>
            <w:tcW w:w="6327" w:type="dxa"/>
          </w:tcPr>
          <w:p w14:paraId="3B7FB63E" w14:textId="77777777" w:rsidR="00015032" w:rsidRPr="00077807" w:rsidRDefault="00015032" w:rsidP="009D1672">
            <w:pPr>
              <w:rPr>
                <w:b/>
              </w:rPr>
            </w:pPr>
            <w:r w:rsidRPr="00077807">
              <w:rPr>
                <w:b/>
              </w:rPr>
              <w:t xml:space="preserve">D. Board </w:t>
            </w:r>
          </w:p>
          <w:p w14:paraId="2D7F4510" w14:textId="77777777" w:rsidR="00015032" w:rsidRDefault="00015032" w:rsidP="009D1672"/>
          <w:p w14:paraId="068936CE" w14:textId="77777777" w:rsidR="00015032" w:rsidRDefault="00015032" w:rsidP="009D1672">
            <w:r>
              <w:t>A discussion on the proposed structure of the Board highlighted:</w:t>
            </w:r>
          </w:p>
          <w:p w14:paraId="590834F5" w14:textId="77777777" w:rsidR="00015032" w:rsidRDefault="00015032" w:rsidP="009D1672"/>
          <w:p w14:paraId="2AE476B8" w14:textId="77777777" w:rsidR="00015032" w:rsidRDefault="00015032" w:rsidP="006756C0">
            <w:pPr>
              <w:pStyle w:val="ListParagraph"/>
              <w:numPr>
                <w:ilvl w:val="0"/>
                <w:numId w:val="31"/>
              </w:numPr>
            </w:pPr>
            <w:r>
              <w:t>Point b. – clarification that the Board positions will all be advertised publicly with those interested applying or providing an expression of interest. A selection panel will be convened made up of consumer members and existing Board members (or the IAG for the inaugural board).</w:t>
            </w:r>
          </w:p>
          <w:p w14:paraId="19AB30E9" w14:textId="77777777" w:rsidR="00015032" w:rsidRDefault="00015032" w:rsidP="006756C0">
            <w:pPr>
              <w:pStyle w:val="ListParagraph"/>
              <w:numPr>
                <w:ilvl w:val="0"/>
                <w:numId w:val="31"/>
              </w:numPr>
            </w:pPr>
            <w:r>
              <w:t>The role description for Board members will include consumers with exposure to the health industry and have governance experience. This will ensure the Board is consumer led.</w:t>
            </w:r>
          </w:p>
          <w:p w14:paraId="578019BC" w14:textId="77777777" w:rsidR="00015032" w:rsidRDefault="00015032" w:rsidP="006756C0">
            <w:pPr>
              <w:pStyle w:val="ListParagraph"/>
              <w:numPr>
                <w:ilvl w:val="0"/>
                <w:numId w:val="31"/>
              </w:numPr>
            </w:pPr>
            <w:r>
              <w:t>If there are vacant positions, then the Board can, if they choose, directly appoint up to 3 (three) members that may not have consumer experience but are experts in a required skill base.</w:t>
            </w:r>
          </w:p>
          <w:p w14:paraId="686818E3" w14:textId="77777777" w:rsidR="00015032" w:rsidRDefault="00015032" w:rsidP="006756C0">
            <w:pPr>
              <w:pStyle w:val="ListParagraph"/>
              <w:numPr>
                <w:ilvl w:val="0"/>
                <w:numId w:val="31"/>
              </w:numPr>
            </w:pPr>
            <w:r>
              <w:t xml:space="preserve">This will ensure that the Board can recruit the skills it needs and at the same time, the Board will have a majority of its members being consumers. </w:t>
            </w:r>
          </w:p>
          <w:p w14:paraId="7C8FA343" w14:textId="77777777" w:rsidR="00015032" w:rsidRDefault="00015032" w:rsidP="006756C0">
            <w:pPr>
              <w:pStyle w:val="ListParagraph"/>
              <w:numPr>
                <w:ilvl w:val="0"/>
                <w:numId w:val="31"/>
              </w:numPr>
            </w:pPr>
            <w:r>
              <w:t>It was outlined that members will not vote directly for Board positions but will be an integral part of the selection process.</w:t>
            </w:r>
          </w:p>
          <w:p w14:paraId="2D7749A3" w14:textId="77777777" w:rsidR="00015032" w:rsidRDefault="00015032" w:rsidP="009D1672"/>
          <w:p w14:paraId="5450B546" w14:textId="77777777" w:rsidR="00015032" w:rsidRDefault="00015032" w:rsidP="009D1672">
            <w:r>
              <w:t>Specifically:</w:t>
            </w:r>
          </w:p>
          <w:p w14:paraId="37472E13" w14:textId="77777777" w:rsidR="00015032" w:rsidRDefault="00015032" w:rsidP="006756C0">
            <w:pPr>
              <w:pStyle w:val="ListParagraph"/>
              <w:numPr>
                <w:ilvl w:val="0"/>
                <w:numId w:val="31"/>
              </w:numPr>
            </w:pPr>
            <w:r>
              <w:t>Point b - strengthen the skills set to highlight that a preference for Board Directors to be consumers who have consumer representation and experience of the health system AND have governance experience.</w:t>
            </w:r>
          </w:p>
          <w:p w14:paraId="40BF5B1B" w14:textId="77777777" w:rsidR="00015032" w:rsidRDefault="00015032" w:rsidP="006756C0">
            <w:pPr>
              <w:pStyle w:val="ListParagraph"/>
              <w:numPr>
                <w:ilvl w:val="0"/>
                <w:numId w:val="31"/>
              </w:numPr>
            </w:pPr>
            <w:r>
              <w:t>Point b and C. Clarify the reference to consumer-based Directors as the objective is to include this skills or attribute to all Directors recruited via advertisement.</w:t>
            </w:r>
          </w:p>
          <w:p w14:paraId="0816EA3C" w14:textId="77777777" w:rsidR="00015032" w:rsidRDefault="00015032" w:rsidP="006756C0">
            <w:pPr>
              <w:pStyle w:val="ListParagraph"/>
              <w:numPr>
                <w:ilvl w:val="0"/>
                <w:numId w:val="31"/>
              </w:numPr>
            </w:pPr>
            <w:r>
              <w:t>Point d. Strengthen the wording to distinguish those Directors who are recruited via advertisement and selection panel and those Directors directly appointed by the Board (termed general Directors)</w:t>
            </w:r>
          </w:p>
          <w:p w14:paraId="7224C7F3" w14:textId="77777777" w:rsidR="00015032" w:rsidRDefault="00015032" w:rsidP="006756C0">
            <w:pPr>
              <w:pStyle w:val="ListParagraph"/>
              <w:numPr>
                <w:ilvl w:val="0"/>
                <w:numId w:val="31"/>
              </w:numPr>
            </w:pPr>
            <w:r>
              <w:t>Remove reference to non-executive as all Directors are non-executive</w:t>
            </w:r>
          </w:p>
          <w:p w14:paraId="0817B269" w14:textId="77777777" w:rsidR="00015032" w:rsidRDefault="00015032" w:rsidP="006756C0">
            <w:pPr>
              <w:pStyle w:val="ListParagraph"/>
              <w:numPr>
                <w:ilvl w:val="0"/>
                <w:numId w:val="31"/>
              </w:numPr>
            </w:pPr>
            <w:r>
              <w:t>Point e. Broaden the profile matrix from gender diversity to include a broader definition of diversity and include experience in working with not-for-profit organisations.</w:t>
            </w:r>
          </w:p>
          <w:p w14:paraId="102426D0" w14:textId="77777777" w:rsidR="00015032" w:rsidRDefault="00015032" w:rsidP="006756C0">
            <w:pPr>
              <w:pStyle w:val="ListParagraph"/>
              <w:numPr>
                <w:ilvl w:val="0"/>
                <w:numId w:val="31"/>
              </w:numPr>
            </w:pPr>
            <w:r>
              <w:t xml:space="preserve">Point f. Endorsed chairperson to be elected by the board </w:t>
            </w:r>
            <w:r>
              <w:rPr>
                <w:b/>
              </w:rPr>
              <w:t>can</w:t>
            </w:r>
            <w:r>
              <w:t xml:space="preserve"> be a Director invited directly onto the board – link points d and f.  The preference is that the Chairperson ideally should have consumer / health industry exposure.</w:t>
            </w:r>
          </w:p>
          <w:p w14:paraId="55F1A3AC" w14:textId="77777777" w:rsidR="00015032" w:rsidRDefault="00015032" w:rsidP="006756C0">
            <w:pPr>
              <w:pStyle w:val="ListParagraph"/>
              <w:numPr>
                <w:ilvl w:val="0"/>
                <w:numId w:val="31"/>
              </w:numPr>
            </w:pPr>
            <w:r>
              <w:t>Consider expanding the length of tenue from 3 to 4 years (maximum length of each term) with the inaugural board to have a mix of positions that are 2 and 4 years in length.</w:t>
            </w:r>
          </w:p>
          <w:p w14:paraId="3220DA79" w14:textId="77777777" w:rsidR="00015032" w:rsidRDefault="00015032" w:rsidP="009D1672"/>
          <w:p w14:paraId="316A1765" w14:textId="77777777" w:rsidR="00015032" w:rsidRDefault="00015032" w:rsidP="009D1672">
            <w:r>
              <w:t>Consider including observer positions that will allow those consumers who don’t have experience sitting on a board (for example, youth) to participate and gain that exposure.</w:t>
            </w:r>
          </w:p>
          <w:p w14:paraId="4E104373" w14:textId="77777777" w:rsidR="00015032" w:rsidRDefault="00015032" w:rsidP="009D1672"/>
          <w:p w14:paraId="60F870BC" w14:textId="77777777" w:rsidR="00015032" w:rsidRPr="001B6E34" w:rsidRDefault="00015032" w:rsidP="009D1672">
            <w:pPr>
              <w:rPr>
                <w:b/>
              </w:rPr>
            </w:pPr>
            <w:r w:rsidRPr="001B6E34">
              <w:rPr>
                <w:b/>
              </w:rPr>
              <w:t>Key Actions:</w:t>
            </w:r>
          </w:p>
          <w:p w14:paraId="3609D3F5" w14:textId="77777777" w:rsidR="00015032" w:rsidRDefault="00015032" w:rsidP="006756C0">
            <w:pPr>
              <w:pStyle w:val="ListParagraph"/>
              <w:numPr>
                <w:ilvl w:val="0"/>
                <w:numId w:val="6"/>
              </w:numPr>
              <w:spacing w:after="160" w:line="259" w:lineRule="auto"/>
            </w:pPr>
            <w:r>
              <w:lastRenderedPageBreak/>
              <w:t>Endorsed consumers with appropriate governance skills make up the majority of Board positions.</w:t>
            </w:r>
          </w:p>
          <w:p w14:paraId="32153AEB" w14:textId="77777777" w:rsidR="00015032" w:rsidRDefault="00015032" w:rsidP="006756C0">
            <w:pPr>
              <w:pStyle w:val="ListParagraph"/>
              <w:numPr>
                <w:ilvl w:val="0"/>
                <w:numId w:val="6"/>
              </w:numPr>
              <w:spacing w:after="160" w:line="259" w:lineRule="auto"/>
            </w:pPr>
            <w:r>
              <w:t>Endorsed the initial establishment phase to involve half the board recruited for a maximum 4 years and the other half for a maximum 2 years.</w:t>
            </w:r>
          </w:p>
          <w:p w14:paraId="738205D6" w14:textId="77777777" w:rsidR="00015032" w:rsidRDefault="00015032" w:rsidP="006756C0">
            <w:pPr>
              <w:pStyle w:val="ListParagraph"/>
              <w:numPr>
                <w:ilvl w:val="0"/>
                <w:numId w:val="6"/>
              </w:numPr>
              <w:spacing w:after="160" w:line="259" w:lineRule="auto"/>
            </w:pPr>
            <w:r>
              <w:t>Endorsed a public recruitment process to select the directors with consumer members being actively involved in the selection process and the board to assess and fill the remaining positions based on skill needs.</w:t>
            </w:r>
          </w:p>
          <w:p w14:paraId="5E26D2FC" w14:textId="77777777" w:rsidR="00015032" w:rsidRDefault="00015032" w:rsidP="009D1672">
            <w:pPr>
              <w:rPr>
                <w:b/>
              </w:rPr>
            </w:pPr>
            <w:r>
              <w:rPr>
                <w:b/>
              </w:rPr>
              <w:t>E. Consumer Policy Standing Committee</w:t>
            </w:r>
          </w:p>
          <w:p w14:paraId="1278EB49" w14:textId="77777777" w:rsidR="00015032" w:rsidRDefault="00015032" w:rsidP="009D1672"/>
          <w:p w14:paraId="43E70BE9" w14:textId="77777777" w:rsidR="00015032" w:rsidRDefault="00015032" w:rsidP="009D1672">
            <w:r>
              <w:t>A sub-committee of the Board - Consumer Policy Standing Committee is proposed to provide an avenue for members (consumers) to be able to shape the policy direction of the organisation and determine issues or topics that the organisation could focus on.</w:t>
            </w:r>
          </w:p>
          <w:p w14:paraId="11C0D2EC" w14:textId="77777777" w:rsidR="00015032" w:rsidRDefault="00015032" w:rsidP="009D1672"/>
          <w:p w14:paraId="2D686314" w14:textId="77777777" w:rsidR="00015032" w:rsidRDefault="00015032" w:rsidP="009D1672">
            <w:r>
              <w:t>Discussion included:</w:t>
            </w:r>
          </w:p>
          <w:p w14:paraId="18ADCAB6" w14:textId="77777777" w:rsidR="00015032" w:rsidRDefault="00015032" w:rsidP="006756C0">
            <w:pPr>
              <w:pStyle w:val="ListParagraph"/>
              <w:numPr>
                <w:ilvl w:val="0"/>
                <w:numId w:val="32"/>
              </w:numPr>
            </w:pPr>
            <w:r>
              <w:t>Consider a name that better reflects the role of the committee</w:t>
            </w:r>
          </w:p>
          <w:p w14:paraId="5E4676CA" w14:textId="77777777" w:rsidR="00015032" w:rsidRDefault="00015032" w:rsidP="006756C0">
            <w:pPr>
              <w:pStyle w:val="ListParagraph"/>
              <w:numPr>
                <w:ilvl w:val="0"/>
                <w:numId w:val="32"/>
              </w:numPr>
            </w:pPr>
            <w:r>
              <w:t>Expand membership profile to include a broader definition of diversity including “disability”.</w:t>
            </w:r>
          </w:p>
          <w:p w14:paraId="504818F2" w14:textId="77777777" w:rsidR="00015032" w:rsidRDefault="00015032" w:rsidP="006756C0">
            <w:pPr>
              <w:pStyle w:val="ListParagraph"/>
              <w:numPr>
                <w:ilvl w:val="0"/>
                <w:numId w:val="32"/>
              </w:numPr>
            </w:pPr>
            <w:r>
              <w:t>Consider the Committee be co- chaired by a Board member</w:t>
            </w:r>
          </w:p>
          <w:p w14:paraId="78F1D586" w14:textId="77777777" w:rsidR="00015032" w:rsidRDefault="00015032" w:rsidP="006756C0">
            <w:pPr>
              <w:pStyle w:val="ListParagraph"/>
              <w:numPr>
                <w:ilvl w:val="0"/>
                <w:numId w:val="32"/>
              </w:numPr>
            </w:pPr>
            <w:r>
              <w:t>Option for regional committees to be co-chaired by the regional Board members.</w:t>
            </w:r>
          </w:p>
          <w:p w14:paraId="70997F2C" w14:textId="77777777" w:rsidR="00015032" w:rsidRDefault="00015032" w:rsidP="006756C0">
            <w:pPr>
              <w:pStyle w:val="ListParagraph"/>
              <w:numPr>
                <w:ilvl w:val="0"/>
                <w:numId w:val="32"/>
              </w:numPr>
            </w:pPr>
            <w:r>
              <w:t>Option for the constitution to not limit the size, location or scope of the Committee, but an approximate number of 45 members spread across the state appeared reasonable.</w:t>
            </w:r>
          </w:p>
          <w:p w14:paraId="4BB0A0D0" w14:textId="77777777" w:rsidR="00015032" w:rsidRDefault="00015032" w:rsidP="006756C0">
            <w:pPr>
              <w:pStyle w:val="ListParagraph"/>
              <w:numPr>
                <w:ilvl w:val="0"/>
                <w:numId w:val="32"/>
              </w:numPr>
            </w:pPr>
            <w:r>
              <w:t>Ensure the Committee documents minutes or communique for the Board</w:t>
            </w:r>
          </w:p>
          <w:p w14:paraId="52161FB5" w14:textId="77777777" w:rsidR="00015032" w:rsidRDefault="00015032" w:rsidP="009D1672"/>
          <w:p w14:paraId="35CB3BEB" w14:textId="77777777" w:rsidR="00015032" w:rsidRPr="001B6E34" w:rsidRDefault="00015032" w:rsidP="009D1672">
            <w:pPr>
              <w:rPr>
                <w:b/>
              </w:rPr>
            </w:pPr>
            <w:r w:rsidRPr="001B6E34">
              <w:rPr>
                <w:b/>
              </w:rPr>
              <w:t>Key Actions:</w:t>
            </w:r>
          </w:p>
          <w:p w14:paraId="50C6860E" w14:textId="77777777" w:rsidR="00015032" w:rsidRDefault="00015032" w:rsidP="006756C0">
            <w:pPr>
              <w:pStyle w:val="ListParagraph"/>
              <w:numPr>
                <w:ilvl w:val="0"/>
                <w:numId w:val="6"/>
              </w:numPr>
            </w:pPr>
            <w:r>
              <w:t>Remove specific Terms of Reference items of the Committee from the Constitution as this will be a responsibility of the Board to determine.</w:t>
            </w:r>
          </w:p>
          <w:p w14:paraId="6B119F33" w14:textId="77777777" w:rsidR="00015032" w:rsidRDefault="00015032" w:rsidP="006756C0">
            <w:pPr>
              <w:pStyle w:val="ListParagraph"/>
              <w:numPr>
                <w:ilvl w:val="0"/>
                <w:numId w:val="6"/>
              </w:numPr>
            </w:pPr>
            <w:r>
              <w:t>The constitution need only stipulate that the Sub-Committee needs to exist, members will inform the development of the Terms of Reference and they, together with minutes and reports etc will be made available publicly.</w:t>
            </w:r>
          </w:p>
          <w:p w14:paraId="1E1558BF" w14:textId="77777777" w:rsidR="00015032" w:rsidRDefault="00015032" w:rsidP="009D1672"/>
          <w:p w14:paraId="33FA5C8C" w14:textId="77777777" w:rsidR="00015032" w:rsidRPr="003511E1" w:rsidRDefault="00015032" w:rsidP="009D1672">
            <w:pPr>
              <w:rPr>
                <w:b/>
              </w:rPr>
            </w:pPr>
            <w:r w:rsidRPr="003511E1">
              <w:rPr>
                <w:b/>
              </w:rPr>
              <w:t xml:space="preserve">F. Membership </w:t>
            </w:r>
          </w:p>
          <w:p w14:paraId="26BD3370" w14:textId="77777777" w:rsidR="00015032" w:rsidRDefault="00015032" w:rsidP="009D1672"/>
          <w:p w14:paraId="436B1B97" w14:textId="77777777" w:rsidR="00015032" w:rsidRDefault="00015032" w:rsidP="009D1672">
            <w:r>
              <w:t>The issue of membership was discussed.</w:t>
            </w:r>
          </w:p>
          <w:p w14:paraId="7F0E49C4" w14:textId="77777777" w:rsidR="00015032" w:rsidRDefault="00015032" w:rsidP="009D1672"/>
          <w:p w14:paraId="6230E334" w14:textId="77777777" w:rsidR="00015032" w:rsidRDefault="00015032" w:rsidP="009D1672">
            <w:r>
              <w:t>The question was raised that the organisation needs to be clear why people would want to become members.</w:t>
            </w:r>
          </w:p>
          <w:p w14:paraId="08893D9A" w14:textId="77777777" w:rsidR="00015032" w:rsidRDefault="00015032" w:rsidP="009D1672"/>
          <w:p w14:paraId="140CEC27" w14:textId="77777777" w:rsidR="00015032" w:rsidRDefault="00015032" w:rsidP="009D1672">
            <w:r>
              <w:lastRenderedPageBreak/>
              <w:t>A key principle for membership is that it enables (not restricts) community participation and it also enables the organisation to be agile and respond to different community needs as required.</w:t>
            </w:r>
          </w:p>
          <w:p w14:paraId="4ECC5847" w14:textId="77777777" w:rsidR="00015032" w:rsidRDefault="00015032" w:rsidP="009D1672"/>
          <w:p w14:paraId="106379E8" w14:textId="77777777" w:rsidR="00015032" w:rsidRDefault="00015032" w:rsidP="009D1672">
            <w:r>
              <w:t xml:space="preserve">The general principles of membership </w:t>
            </w:r>
            <w:proofErr w:type="gramStart"/>
            <w:r>
              <w:t>was</w:t>
            </w:r>
            <w:proofErr w:type="gramEnd"/>
            <w:r>
              <w:t xml:space="preserve"> endorsed and that it </w:t>
            </w:r>
          </w:p>
          <w:p w14:paraId="53487227" w14:textId="77777777" w:rsidR="00015032" w:rsidRDefault="00015032" w:rsidP="006756C0">
            <w:pPr>
              <w:pStyle w:val="ListParagraph"/>
              <w:numPr>
                <w:ilvl w:val="0"/>
                <w:numId w:val="33"/>
              </w:numPr>
            </w:pPr>
            <w:r>
              <w:t>be free (no financial barriers to join),</w:t>
            </w:r>
          </w:p>
          <w:p w14:paraId="1D5016D7" w14:textId="77777777" w:rsidR="00015032" w:rsidRDefault="00015032" w:rsidP="006756C0">
            <w:pPr>
              <w:pStyle w:val="ListParagraph"/>
              <w:numPr>
                <w:ilvl w:val="0"/>
                <w:numId w:val="33"/>
              </w:numPr>
            </w:pPr>
            <w:r>
              <w:t>can include both individual and community organisation representatives on the condition that they don’t represent “for profit” organisations.</w:t>
            </w:r>
          </w:p>
          <w:p w14:paraId="2488F353" w14:textId="77777777" w:rsidR="00015032" w:rsidRDefault="00015032" w:rsidP="006756C0">
            <w:pPr>
              <w:pStyle w:val="ListParagraph"/>
              <w:numPr>
                <w:ilvl w:val="0"/>
                <w:numId w:val="33"/>
              </w:numPr>
            </w:pPr>
            <w:r>
              <w:t>the Board to determine the selection process of members onto the Consumer Policy Standing Committee</w:t>
            </w:r>
          </w:p>
          <w:p w14:paraId="34EB79FD" w14:textId="77777777" w:rsidR="00015032" w:rsidRDefault="00015032" w:rsidP="009D1672"/>
          <w:p w14:paraId="48B3B9A6" w14:textId="77777777" w:rsidR="00015032" w:rsidRDefault="00015032" w:rsidP="009D1672">
            <w:r>
              <w:t>It is important that the organisation keep an up-to-date register of members and that a full members meeting be scheduled to ensure that they have meaningful input into the policy positions of the organisation.</w:t>
            </w:r>
          </w:p>
          <w:p w14:paraId="31E5EDDF" w14:textId="77777777" w:rsidR="00015032" w:rsidRDefault="00015032" w:rsidP="009D1672"/>
          <w:p w14:paraId="5CE3524F" w14:textId="77777777" w:rsidR="00015032" w:rsidRPr="001B6E34" w:rsidRDefault="00015032" w:rsidP="009D1672">
            <w:pPr>
              <w:rPr>
                <w:b/>
              </w:rPr>
            </w:pPr>
            <w:r w:rsidRPr="001B6E34">
              <w:rPr>
                <w:b/>
              </w:rPr>
              <w:t>Key Actions:</w:t>
            </w:r>
          </w:p>
          <w:p w14:paraId="17D999C9" w14:textId="77777777" w:rsidR="00015032" w:rsidRDefault="00015032" w:rsidP="006756C0">
            <w:pPr>
              <w:pStyle w:val="ListParagraph"/>
              <w:numPr>
                <w:ilvl w:val="0"/>
                <w:numId w:val="6"/>
              </w:numPr>
            </w:pPr>
            <w:r>
              <w:t>Endorsed that our community will want the option of becoming members</w:t>
            </w:r>
          </w:p>
          <w:p w14:paraId="11ED7BE1" w14:textId="77777777" w:rsidR="00015032" w:rsidRDefault="00015032" w:rsidP="006756C0">
            <w:pPr>
              <w:pStyle w:val="ListParagraph"/>
              <w:numPr>
                <w:ilvl w:val="0"/>
                <w:numId w:val="6"/>
              </w:numPr>
            </w:pPr>
            <w:r>
              <w:t>Provide a mechanism for consumers to easily become members will be critical to the success of the organisation.</w:t>
            </w:r>
          </w:p>
          <w:p w14:paraId="5EB621A1" w14:textId="77777777" w:rsidR="00015032" w:rsidRDefault="00015032" w:rsidP="006756C0">
            <w:pPr>
              <w:pStyle w:val="ListParagraph"/>
              <w:numPr>
                <w:ilvl w:val="0"/>
                <w:numId w:val="6"/>
              </w:numPr>
            </w:pPr>
            <w:r>
              <w:t>The Board to determine and articulate the key offerings or benefits for consumers to become members.</w:t>
            </w:r>
          </w:p>
          <w:p w14:paraId="0C3514DA" w14:textId="77777777" w:rsidR="00015032" w:rsidRDefault="00015032" w:rsidP="006756C0">
            <w:pPr>
              <w:pStyle w:val="ListParagraph"/>
              <w:numPr>
                <w:ilvl w:val="0"/>
                <w:numId w:val="6"/>
              </w:numPr>
            </w:pPr>
            <w:r>
              <w:t>Consider a process whereby members can nominate or vote other members to join the Consumer Policy Standing Committee.</w:t>
            </w:r>
          </w:p>
          <w:p w14:paraId="6B6DB03B" w14:textId="77777777" w:rsidR="00015032" w:rsidRDefault="00015032" w:rsidP="009D1672"/>
          <w:p w14:paraId="6A0EBABF" w14:textId="77777777" w:rsidR="00015032" w:rsidRPr="003511E1" w:rsidRDefault="00015032" w:rsidP="009D1672">
            <w:pPr>
              <w:rPr>
                <w:b/>
              </w:rPr>
            </w:pPr>
            <w:r w:rsidRPr="003511E1">
              <w:rPr>
                <w:b/>
              </w:rPr>
              <w:t>G. Name</w:t>
            </w:r>
          </w:p>
          <w:p w14:paraId="521F2034" w14:textId="77777777" w:rsidR="00015032" w:rsidRDefault="00015032" w:rsidP="009D1672"/>
          <w:p w14:paraId="0F235D89" w14:textId="77777777" w:rsidR="00015032" w:rsidRDefault="00015032" w:rsidP="009D1672">
            <w:r>
              <w:t>General discussion around the name – Health Consumers Tasmania or Consumer Health Voice Tasmania. Whilst the word voice was considered a good option to be included in the name, it was agreed on Health Consumers Tasmania be adopted and that the by-line include the word “voice”.</w:t>
            </w:r>
          </w:p>
          <w:p w14:paraId="5AC800CC" w14:textId="77777777" w:rsidR="00015032" w:rsidRDefault="00015032" w:rsidP="009D1672"/>
          <w:p w14:paraId="45D37C82" w14:textId="77777777" w:rsidR="00015032" w:rsidRPr="001B6E34" w:rsidRDefault="00015032" w:rsidP="009D1672">
            <w:pPr>
              <w:rPr>
                <w:b/>
              </w:rPr>
            </w:pPr>
            <w:r w:rsidRPr="001B6E34">
              <w:rPr>
                <w:b/>
              </w:rPr>
              <w:t>Key Actions:</w:t>
            </w:r>
          </w:p>
          <w:p w14:paraId="5D5C5E5E" w14:textId="77777777" w:rsidR="00015032" w:rsidRDefault="00015032" w:rsidP="006756C0">
            <w:pPr>
              <w:pStyle w:val="ListParagraph"/>
              <w:numPr>
                <w:ilvl w:val="0"/>
                <w:numId w:val="6"/>
              </w:numPr>
            </w:pPr>
            <w:r>
              <w:t>Endorsed - Health Consumers Tasmania with the bi-line to include “building a Consumer Health Voice in Tasmania”.</w:t>
            </w:r>
          </w:p>
          <w:p w14:paraId="3B9D1F81" w14:textId="77777777" w:rsidR="00015032" w:rsidRDefault="00015032" w:rsidP="009D1672"/>
        </w:tc>
      </w:tr>
      <w:tr w:rsidR="00015032" w14:paraId="21D5E2CE" w14:textId="77777777" w:rsidTr="009D1672">
        <w:tc>
          <w:tcPr>
            <w:tcW w:w="2689" w:type="dxa"/>
          </w:tcPr>
          <w:p w14:paraId="2B1821A2" w14:textId="77777777" w:rsidR="00015032" w:rsidRPr="006D1FF6" w:rsidRDefault="00015032" w:rsidP="009D1672">
            <w:pPr>
              <w:rPr>
                <w:b/>
              </w:rPr>
            </w:pPr>
            <w:r w:rsidRPr="006D1FF6">
              <w:rPr>
                <w:b/>
              </w:rPr>
              <w:lastRenderedPageBreak/>
              <w:t xml:space="preserve">Item </w:t>
            </w:r>
            <w:r>
              <w:rPr>
                <w:b/>
              </w:rPr>
              <w:t>3</w:t>
            </w:r>
            <w:r w:rsidRPr="006D1FF6">
              <w:rPr>
                <w:b/>
              </w:rPr>
              <w:t xml:space="preserve">. </w:t>
            </w:r>
          </w:p>
          <w:p w14:paraId="57CF1B4B" w14:textId="77777777" w:rsidR="00015032" w:rsidRDefault="00015032" w:rsidP="009D1672">
            <w:r>
              <w:t>Board Recruitment</w:t>
            </w:r>
          </w:p>
          <w:p w14:paraId="3F56E51D" w14:textId="77777777" w:rsidR="00015032" w:rsidRDefault="00015032" w:rsidP="009D1672"/>
          <w:p w14:paraId="03A04D59" w14:textId="77777777" w:rsidR="00015032" w:rsidRDefault="00015032" w:rsidP="009D1672">
            <w:pPr>
              <w:rPr>
                <w:sz w:val="20"/>
                <w:szCs w:val="20"/>
              </w:rPr>
            </w:pPr>
            <w:r w:rsidRPr="00C63008">
              <w:rPr>
                <w:b/>
                <w:sz w:val="20"/>
                <w:szCs w:val="20"/>
              </w:rPr>
              <w:t>Attachment:</w:t>
            </w:r>
            <w:r w:rsidRPr="001B6E34">
              <w:rPr>
                <w:sz w:val="20"/>
                <w:szCs w:val="20"/>
              </w:rPr>
              <w:t xml:space="preserve"> </w:t>
            </w:r>
            <w:r>
              <w:rPr>
                <w:sz w:val="20"/>
                <w:szCs w:val="20"/>
              </w:rPr>
              <w:t>Building a constitution</w:t>
            </w:r>
          </w:p>
          <w:p w14:paraId="37C41192" w14:textId="77777777" w:rsidR="00015032" w:rsidRDefault="00015032" w:rsidP="009D1672">
            <w:pPr>
              <w:rPr>
                <w:sz w:val="20"/>
                <w:szCs w:val="20"/>
              </w:rPr>
            </w:pPr>
          </w:p>
          <w:p w14:paraId="77E2D764" w14:textId="77777777" w:rsidR="00015032" w:rsidRPr="000E4000" w:rsidRDefault="00015032" w:rsidP="009D1672">
            <w:pPr>
              <w:rPr>
                <w:b/>
              </w:rPr>
            </w:pPr>
            <w:r w:rsidRPr="00C63008">
              <w:rPr>
                <w:b/>
                <w:sz w:val="20"/>
                <w:szCs w:val="20"/>
              </w:rPr>
              <w:t>Decision:</w:t>
            </w:r>
          </w:p>
        </w:tc>
        <w:tc>
          <w:tcPr>
            <w:tcW w:w="6327" w:type="dxa"/>
          </w:tcPr>
          <w:p w14:paraId="546E10DC" w14:textId="77777777" w:rsidR="00015032" w:rsidRDefault="00015032" w:rsidP="009D1672">
            <w:r>
              <w:t xml:space="preserve">Board recruitment process was briefly discussed. </w:t>
            </w:r>
          </w:p>
          <w:p w14:paraId="1D89B9BE" w14:textId="77777777" w:rsidR="00015032" w:rsidRDefault="00015032" w:rsidP="009D1672"/>
          <w:p w14:paraId="47A75E21" w14:textId="77777777" w:rsidR="00015032" w:rsidRDefault="00015032" w:rsidP="009D1672">
            <w:r>
              <w:t>Agreed that the current Executive Officer and Policy Advisor provide administrative support to a selection panel but be separated from the Board recruitment decision making.</w:t>
            </w:r>
          </w:p>
          <w:p w14:paraId="7AD2E2FD" w14:textId="77777777" w:rsidR="00015032" w:rsidRDefault="00015032" w:rsidP="009D1672"/>
          <w:p w14:paraId="075AFD4C" w14:textId="77777777" w:rsidR="00015032" w:rsidRDefault="00015032" w:rsidP="009D1672">
            <w:r>
              <w:t>It was the expectation of the Consumer Health Forum in Canberra that a number of IAG members would apply for the inaugural board to maintain continuity.</w:t>
            </w:r>
          </w:p>
          <w:p w14:paraId="48B409FA" w14:textId="77777777" w:rsidR="00015032" w:rsidRDefault="00015032" w:rsidP="009D1672"/>
          <w:p w14:paraId="3DEF8C98" w14:textId="77777777" w:rsidR="00015032" w:rsidRDefault="00015032" w:rsidP="009D1672">
            <w:r>
              <w:lastRenderedPageBreak/>
              <w:t>A recruitment processes to include public advertisements for the Board positions.</w:t>
            </w:r>
          </w:p>
          <w:p w14:paraId="29F175B7" w14:textId="77777777" w:rsidR="00015032" w:rsidRDefault="00015032" w:rsidP="009D1672"/>
          <w:p w14:paraId="2F3DC6CC" w14:textId="77777777" w:rsidR="00015032" w:rsidRPr="001B6E34" w:rsidRDefault="00015032" w:rsidP="009D1672">
            <w:pPr>
              <w:rPr>
                <w:b/>
              </w:rPr>
            </w:pPr>
            <w:r w:rsidRPr="001B6E34">
              <w:rPr>
                <w:b/>
              </w:rPr>
              <w:t>Key Actions:</w:t>
            </w:r>
          </w:p>
          <w:p w14:paraId="7000475D" w14:textId="77777777" w:rsidR="00015032" w:rsidRDefault="00015032" w:rsidP="006756C0">
            <w:pPr>
              <w:pStyle w:val="ListParagraph"/>
              <w:numPr>
                <w:ilvl w:val="0"/>
                <w:numId w:val="6"/>
              </w:numPr>
            </w:pPr>
            <w:r>
              <w:t>Members of the IAG to volunteer to form a selection sub-committee or recruitment panel to recruit the inaugural Board</w:t>
            </w:r>
          </w:p>
          <w:p w14:paraId="55BEB105" w14:textId="77777777" w:rsidR="00015032" w:rsidRDefault="00015032" w:rsidP="006756C0">
            <w:pPr>
              <w:pStyle w:val="ListParagraph"/>
              <w:numPr>
                <w:ilvl w:val="0"/>
                <w:numId w:val="6"/>
              </w:numPr>
            </w:pPr>
            <w:r>
              <w:t>CHF to be approached to provide a representative on the Selection Panel.</w:t>
            </w:r>
          </w:p>
          <w:p w14:paraId="0F99FEEF" w14:textId="77777777" w:rsidR="00015032" w:rsidRDefault="00015032" w:rsidP="009D1672"/>
        </w:tc>
      </w:tr>
      <w:tr w:rsidR="00015032" w14:paraId="38CE40B2" w14:textId="77777777" w:rsidTr="009D1672">
        <w:tc>
          <w:tcPr>
            <w:tcW w:w="2689" w:type="dxa"/>
          </w:tcPr>
          <w:p w14:paraId="256AB35B" w14:textId="77777777" w:rsidR="00015032" w:rsidRPr="000E4000" w:rsidRDefault="00015032" w:rsidP="009D1672">
            <w:pPr>
              <w:rPr>
                <w:b/>
              </w:rPr>
            </w:pPr>
            <w:r w:rsidRPr="000E4000">
              <w:rPr>
                <w:b/>
              </w:rPr>
              <w:lastRenderedPageBreak/>
              <w:t xml:space="preserve">Item </w:t>
            </w:r>
            <w:r>
              <w:rPr>
                <w:b/>
              </w:rPr>
              <w:t>4</w:t>
            </w:r>
            <w:r w:rsidRPr="000E4000">
              <w:rPr>
                <w:b/>
              </w:rPr>
              <w:t xml:space="preserve"> </w:t>
            </w:r>
          </w:p>
          <w:p w14:paraId="096F7E95" w14:textId="77777777" w:rsidR="00015032" w:rsidRDefault="00015032" w:rsidP="009D1672">
            <w:r>
              <w:t>Other Business</w:t>
            </w:r>
          </w:p>
        </w:tc>
        <w:tc>
          <w:tcPr>
            <w:tcW w:w="6327" w:type="dxa"/>
          </w:tcPr>
          <w:p w14:paraId="1557C969" w14:textId="77777777" w:rsidR="00015032" w:rsidRDefault="00015032" w:rsidP="009D1672">
            <w:r>
              <w:t>No other business tabled</w:t>
            </w:r>
          </w:p>
          <w:p w14:paraId="63D68C39" w14:textId="77777777" w:rsidR="00015032" w:rsidRDefault="00015032" w:rsidP="009D1672"/>
        </w:tc>
      </w:tr>
      <w:tr w:rsidR="00015032" w14:paraId="67AECC2B" w14:textId="77777777" w:rsidTr="009D1672">
        <w:tc>
          <w:tcPr>
            <w:tcW w:w="2689" w:type="dxa"/>
          </w:tcPr>
          <w:p w14:paraId="5B94CC45" w14:textId="77777777" w:rsidR="00015032" w:rsidRDefault="00015032" w:rsidP="009D1672">
            <w:pPr>
              <w:rPr>
                <w:b/>
              </w:rPr>
            </w:pPr>
            <w:r>
              <w:rPr>
                <w:b/>
              </w:rPr>
              <w:t>Item 5</w:t>
            </w:r>
          </w:p>
          <w:p w14:paraId="766D6A93" w14:textId="77777777" w:rsidR="00015032" w:rsidRPr="000E4000" w:rsidRDefault="00015032" w:rsidP="009D1672">
            <w:pPr>
              <w:rPr>
                <w:b/>
              </w:rPr>
            </w:pPr>
            <w:r>
              <w:rPr>
                <w:b/>
              </w:rPr>
              <w:t>Next Meeting</w:t>
            </w:r>
          </w:p>
        </w:tc>
        <w:tc>
          <w:tcPr>
            <w:tcW w:w="6327" w:type="dxa"/>
          </w:tcPr>
          <w:p w14:paraId="5E9E7EBD" w14:textId="77777777" w:rsidR="00015032" w:rsidRDefault="00015032" w:rsidP="009D1672">
            <w:r>
              <w:t>Next meeting to be confirmed.</w:t>
            </w:r>
          </w:p>
          <w:p w14:paraId="017103E3" w14:textId="77777777" w:rsidR="00015032" w:rsidRDefault="00015032" w:rsidP="009D1672"/>
        </w:tc>
      </w:tr>
    </w:tbl>
    <w:p w14:paraId="37DB6A02" w14:textId="77777777" w:rsidR="00015032" w:rsidRDefault="00015032" w:rsidP="00015032"/>
    <w:p w14:paraId="616C365A" w14:textId="77777777" w:rsidR="005D75CE" w:rsidRDefault="005D75CE" w:rsidP="00015032">
      <w:pPr>
        <w:jc w:val="center"/>
        <w:rPr>
          <w:b/>
          <w:sz w:val="24"/>
          <w:szCs w:val="24"/>
        </w:rPr>
      </w:pPr>
    </w:p>
    <w:p w14:paraId="497C24C5" w14:textId="3A9B708F" w:rsidR="00015032" w:rsidRDefault="00015032" w:rsidP="00015032">
      <w:pPr>
        <w:jc w:val="center"/>
        <w:rPr>
          <w:b/>
          <w:sz w:val="24"/>
          <w:szCs w:val="24"/>
        </w:rPr>
      </w:pPr>
    </w:p>
    <w:p w14:paraId="7839F35D" w14:textId="623A39AF" w:rsidR="00015032" w:rsidRDefault="00015032" w:rsidP="00015032">
      <w:pPr>
        <w:jc w:val="center"/>
        <w:rPr>
          <w:b/>
          <w:sz w:val="24"/>
          <w:szCs w:val="24"/>
        </w:rPr>
      </w:pPr>
    </w:p>
    <w:p w14:paraId="2E1624B9" w14:textId="10C550A1" w:rsidR="00015032" w:rsidRPr="00702ECD" w:rsidRDefault="00015032" w:rsidP="00983FDB">
      <w:pPr>
        <w:rPr>
          <w:b/>
          <w:sz w:val="24"/>
          <w:szCs w:val="24"/>
        </w:rPr>
      </w:pPr>
    </w:p>
    <w:sectPr w:rsidR="00015032" w:rsidRPr="00702ECD" w:rsidSect="000A27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4E93" w14:textId="77777777" w:rsidR="001E52C5" w:rsidRDefault="001E52C5" w:rsidP="00B5068E">
      <w:pPr>
        <w:spacing w:after="0" w:line="240" w:lineRule="auto"/>
      </w:pPr>
      <w:r>
        <w:separator/>
      </w:r>
    </w:p>
  </w:endnote>
  <w:endnote w:type="continuationSeparator" w:id="0">
    <w:p w14:paraId="7C772E1F" w14:textId="77777777" w:rsidR="001E52C5" w:rsidRDefault="001E52C5" w:rsidP="00B5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591837"/>
      <w:docPartObj>
        <w:docPartGallery w:val="Page Numbers (Bottom of Page)"/>
        <w:docPartUnique/>
      </w:docPartObj>
    </w:sdtPr>
    <w:sdtEndPr>
      <w:rPr>
        <w:noProof/>
      </w:rPr>
    </w:sdtEndPr>
    <w:sdtContent>
      <w:p w14:paraId="70C25971" w14:textId="14E1226D" w:rsidR="009D1672" w:rsidRDefault="009D1672" w:rsidP="005C2F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94ED" w14:textId="77777777" w:rsidR="001E52C5" w:rsidRDefault="001E52C5" w:rsidP="00B5068E">
      <w:pPr>
        <w:spacing w:after="0" w:line="240" w:lineRule="auto"/>
      </w:pPr>
      <w:r>
        <w:separator/>
      </w:r>
    </w:p>
  </w:footnote>
  <w:footnote w:type="continuationSeparator" w:id="0">
    <w:p w14:paraId="7C257D35" w14:textId="77777777" w:rsidR="001E52C5" w:rsidRDefault="001E52C5" w:rsidP="00B5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C67D" w14:textId="41DD2FD7" w:rsidR="009D1672" w:rsidRDefault="009D1672" w:rsidP="00F676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3EA"/>
    <w:multiLevelType w:val="hybridMultilevel"/>
    <w:tmpl w:val="51745B66"/>
    <w:lvl w:ilvl="0" w:tplc="DEBA3CC2">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7A63A0"/>
    <w:multiLevelType w:val="hybridMultilevel"/>
    <w:tmpl w:val="904C44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64A75"/>
    <w:multiLevelType w:val="hybridMultilevel"/>
    <w:tmpl w:val="00B446E2"/>
    <w:lvl w:ilvl="0" w:tplc="48E02544">
      <w:start w:val="1"/>
      <w:numFmt w:val="upp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15:restartNumberingAfterBreak="0">
    <w:nsid w:val="05966AFE"/>
    <w:multiLevelType w:val="hybridMultilevel"/>
    <w:tmpl w:val="B00A08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7F56FB"/>
    <w:multiLevelType w:val="hybridMultilevel"/>
    <w:tmpl w:val="BDCA6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18D1"/>
    <w:multiLevelType w:val="hybridMultilevel"/>
    <w:tmpl w:val="75B8B6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75EA7"/>
    <w:multiLevelType w:val="hybridMultilevel"/>
    <w:tmpl w:val="CBD08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01BEA"/>
    <w:multiLevelType w:val="hybridMultilevel"/>
    <w:tmpl w:val="DC6CB05A"/>
    <w:lvl w:ilvl="0" w:tplc="885A782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442992"/>
    <w:multiLevelType w:val="hybridMultilevel"/>
    <w:tmpl w:val="E7B4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62163B"/>
    <w:multiLevelType w:val="hybridMultilevel"/>
    <w:tmpl w:val="0ECE3D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675CF"/>
    <w:multiLevelType w:val="hybridMultilevel"/>
    <w:tmpl w:val="C818F4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A6807"/>
    <w:multiLevelType w:val="hybridMultilevel"/>
    <w:tmpl w:val="58D42BC2"/>
    <w:lvl w:ilvl="0" w:tplc="0C090005">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3514365"/>
    <w:multiLevelType w:val="hybridMultilevel"/>
    <w:tmpl w:val="74DC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9D419B"/>
    <w:multiLevelType w:val="hybridMultilevel"/>
    <w:tmpl w:val="529EFA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532760"/>
    <w:multiLevelType w:val="hybridMultilevel"/>
    <w:tmpl w:val="60F8890A"/>
    <w:lvl w:ilvl="0" w:tplc="CD8C059A">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601BE7"/>
    <w:multiLevelType w:val="hybridMultilevel"/>
    <w:tmpl w:val="05063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FA030F"/>
    <w:multiLevelType w:val="hybridMultilevel"/>
    <w:tmpl w:val="EB5A62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C383E"/>
    <w:multiLevelType w:val="hybridMultilevel"/>
    <w:tmpl w:val="2702C0BA"/>
    <w:lvl w:ilvl="0" w:tplc="9786877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D75C99"/>
    <w:multiLevelType w:val="hybridMultilevel"/>
    <w:tmpl w:val="5686D4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22D96"/>
    <w:multiLevelType w:val="hybridMultilevel"/>
    <w:tmpl w:val="39F268D6"/>
    <w:lvl w:ilvl="0" w:tplc="40509DD4">
      <w:start w:val="1"/>
      <w:numFmt w:val="bullet"/>
      <w:lvlText w:val=""/>
      <w:lvlJc w:val="left"/>
      <w:pPr>
        <w:tabs>
          <w:tab w:val="num" w:pos="720"/>
        </w:tabs>
        <w:ind w:left="720" w:hanging="360"/>
      </w:pPr>
      <w:rPr>
        <w:rFonts w:ascii="Wingdings" w:hAnsi="Wingdings" w:hint="default"/>
      </w:rPr>
    </w:lvl>
    <w:lvl w:ilvl="1" w:tplc="43A68BF4" w:tentative="1">
      <w:start w:val="1"/>
      <w:numFmt w:val="bullet"/>
      <w:lvlText w:val=""/>
      <w:lvlJc w:val="left"/>
      <w:pPr>
        <w:tabs>
          <w:tab w:val="num" w:pos="1440"/>
        </w:tabs>
        <w:ind w:left="1440" w:hanging="360"/>
      </w:pPr>
      <w:rPr>
        <w:rFonts w:ascii="Wingdings" w:hAnsi="Wingdings" w:hint="default"/>
      </w:rPr>
    </w:lvl>
    <w:lvl w:ilvl="2" w:tplc="9C90A7BE" w:tentative="1">
      <w:start w:val="1"/>
      <w:numFmt w:val="bullet"/>
      <w:lvlText w:val=""/>
      <w:lvlJc w:val="left"/>
      <w:pPr>
        <w:tabs>
          <w:tab w:val="num" w:pos="2160"/>
        </w:tabs>
        <w:ind w:left="2160" w:hanging="360"/>
      </w:pPr>
      <w:rPr>
        <w:rFonts w:ascii="Wingdings" w:hAnsi="Wingdings" w:hint="default"/>
      </w:rPr>
    </w:lvl>
    <w:lvl w:ilvl="3" w:tplc="BB564AD2" w:tentative="1">
      <w:start w:val="1"/>
      <w:numFmt w:val="bullet"/>
      <w:lvlText w:val=""/>
      <w:lvlJc w:val="left"/>
      <w:pPr>
        <w:tabs>
          <w:tab w:val="num" w:pos="2880"/>
        </w:tabs>
        <w:ind w:left="2880" w:hanging="360"/>
      </w:pPr>
      <w:rPr>
        <w:rFonts w:ascii="Wingdings" w:hAnsi="Wingdings" w:hint="default"/>
      </w:rPr>
    </w:lvl>
    <w:lvl w:ilvl="4" w:tplc="E186749A" w:tentative="1">
      <w:start w:val="1"/>
      <w:numFmt w:val="bullet"/>
      <w:lvlText w:val=""/>
      <w:lvlJc w:val="left"/>
      <w:pPr>
        <w:tabs>
          <w:tab w:val="num" w:pos="3600"/>
        </w:tabs>
        <w:ind w:left="3600" w:hanging="360"/>
      </w:pPr>
      <w:rPr>
        <w:rFonts w:ascii="Wingdings" w:hAnsi="Wingdings" w:hint="default"/>
      </w:rPr>
    </w:lvl>
    <w:lvl w:ilvl="5" w:tplc="B7305210" w:tentative="1">
      <w:start w:val="1"/>
      <w:numFmt w:val="bullet"/>
      <w:lvlText w:val=""/>
      <w:lvlJc w:val="left"/>
      <w:pPr>
        <w:tabs>
          <w:tab w:val="num" w:pos="4320"/>
        </w:tabs>
        <w:ind w:left="4320" w:hanging="360"/>
      </w:pPr>
      <w:rPr>
        <w:rFonts w:ascii="Wingdings" w:hAnsi="Wingdings" w:hint="default"/>
      </w:rPr>
    </w:lvl>
    <w:lvl w:ilvl="6" w:tplc="7FAEBEC8" w:tentative="1">
      <w:start w:val="1"/>
      <w:numFmt w:val="bullet"/>
      <w:lvlText w:val=""/>
      <w:lvlJc w:val="left"/>
      <w:pPr>
        <w:tabs>
          <w:tab w:val="num" w:pos="5040"/>
        </w:tabs>
        <w:ind w:left="5040" w:hanging="360"/>
      </w:pPr>
      <w:rPr>
        <w:rFonts w:ascii="Wingdings" w:hAnsi="Wingdings" w:hint="default"/>
      </w:rPr>
    </w:lvl>
    <w:lvl w:ilvl="7" w:tplc="8EE6AB7C" w:tentative="1">
      <w:start w:val="1"/>
      <w:numFmt w:val="bullet"/>
      <w:lvlText w:val=""/>
      <w:lvlJc w:val="left"/>
      <w:pPr>
        <w:tabs>
          <w:tab w:val="num" w:pos="5760"/>
        </w:tabs>
        <w:ind w:left="5760" w:hanging="360"/>
      </w:pPr>
      <w:rPr>
        <w:rFonts w:ascii="Wingdings" w:hAnsi="Wingdings" w:hint="default"/>
      </w:rPr>
    </w:lvl>
    <w:lvl w:ilvl="8" w:tplc="4984D8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D3655"/>
    <w:multiLevelType w:val="hybridMultilevel"/>
    <w:tmpl w:val="437EBF7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FEE75E7"/>
    <w:multiLevelType w:val="hybridMultilevel"/>
    <w:tmpl w:val="CE5424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A7D7AAE"/>
    <w:multiLevelType w:val="hybridMultilevel"/>
    <w:tmpl w:val="68A4DCB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B782B25"/>
    <w:multiLevelType w:val="hybridMultilevel"/>
    <w:tmpl w:val="C31A55EC"/>
    <w:lvl w:ilvl="0" w:tplc="7D1AD81E">
      <w:start w:val="1"/>
      <w:numFmt w:val="lowerRoman"/>
      <w:lvlText w:val="%1."/>
      <w:lvlJc w:val="right"/>
      <w:pPr>
        <w:ind w:left="2160" w:hanging="18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46504"/>
    <w:multiLevelType w:val="hybridMultilevel"/>
    <w:tmpl w:val="AAAE54C4"/>
    <w:lvl w:ilvl="0" w:tplc="0C090019">
      <w:start w:val="1"/>
      <w:numFmt w:val="lowerLetter"/>
      <w:lvlText w:val="%1."/>
      <w:lvlJc w:val="left"/>
      <w:pPr>
        <w:ind w:left="720" w:hanging="360"/>
      </w:pPr>
    </w:lvl>
    <w:lvl w:ilvl="1" w:tplc="724A2494">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7406D1"/>
    <w:multiLevelType w:val="hybridMultilevel"/>
    <w:tmpl w:val="2DB29138"/>
    <w:lvl w:ilvl="0" w:tplc="4FCCD38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7C1CC6"/>
    <w:multiLevelType w:val="hybridMultilevel"/>
    <w:tmpl w:val="3478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381EF6"/>
    <w:multiLevelType w:val="hybridMultilevel"/>
    <w:tmpl w:val="EB44157E"/>
    <w:lvl w:ilvl="0" w:tplc="CD8C059A">
      <w:start w:val="1"/>
      <w:numFmt w:val="decimal"/>
      <w:lvlText w:val="%1."/>
      <w:lvlJc w:val="left"/>
      <w:pPr>
        <w:ind w:left="720" w:hanging="360"/>
      </w:pPr>
      <w:rPr>
        <w:rFonts w:asciiTheme="minorHAnsi" w:eastAsiaTheme="minorHAnsi" w:hAnsiTheme="minorHAnsi" w:cstheme="minorBidi"/>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FD26FA"/>
    <w:multiLevelType w:val="hybridMultilevel"/>
    <w:tmpl w:val="78BC5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633E29"/>
    <w:multiLevelType w:val="hybridMultilevel"/>
    <w:tmpl w:val="C5587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031449"/>
    <w:multiLevelType w:val="hybridMultilevel"/>
    <w:tmpl w:val="497A45C0"/>
    <w:lvl w:ilvl="0" w:tplc="93C2FC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CD6624"/>
    <w:multiLevelType w:val="hybridMultilevel"/>
    <w:tmpl w:val="908826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72787"/>
    <w:multiLevelType w:val="hybridMultilevel"/>
    <w:tmpl w:val="55309BDE"/>
    <w:lvl w:ilvl="0" w:tplc="0C090019">
      <w:start w:val="1"/>
      <w:numFmt w:val="lowerLetter"/>
      <w:lvlText w:val="%1."/>
      <w:lvlJc w:val="left"/>
      <w:pPr>
        <w:ind w:left="1440" w:hanging="360"/>
      </w:pPr>
    </w:lvl>
    <w:lvl w:ilvl="1" w:tplc="0C090013">
      <w:start w:val="1"/>
      <w:numFmt w:val="upp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EF226D3"/>
    <w:multiLevelType w:val="hybridMultilevel"/>
    <w:tmpl w:val="3A4A9FDC"/>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60306D0B"/>
    <w:multiLevelType w:val="hybridMultilevel"/>
    <w:tmpl w:val="2E1A239A"/>
    <w:lvl w:ilvl="0" w:tplc="CD8C059A">
      <w:start w:val="1"/>
      <w:numFmt w:val="decimal"/>
      <w:lvlText w:val="%1."/>
      <w:lvlJc w:val="left"/>
      <w:pPr>
        <w:ind w:left="720" w:hanging="360"/>
      </w:pPr>
      <w:rPr>
        <w:rFonts w:asciiTheme="minorHAnsi" w:eastAsiaTheme="minorHAnsi" w:hAnsiTheme="minorHAnsi" w:cstheme="minorBidi"/>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60CA9"/>
    <w:multiLevelType w:val="hybridMultilevel"/>
    <w:tmpl w:val="99C8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FE2303"/>
    <w:multiLevelType w:val="hybridMultilevel"/>
    <w:tmpl w:val="DD000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2E631F"/>
    <w:multiLevelType w:val="hybridMultilevel"/>
    <w:tmpl w:val="D72C6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6017C7"/>
    <w:multiLevelType w:val="hybridMultilevel"/>
    <w:tmpl w:val="C2A6DF1E"/>
    <w:lvl w:ilvl="0" w:tplc="0ABE5C84">
      <w:start w:val="1"/>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E40413"/>
    <w:multiLevelType w:val="hybridMultilevel"/>
    <w:tmpl w:val="2B547F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6C1187"/>
    <w:multiLevelType w:val="hybridMultilevel"/>
    <w:tmpl w:val="54AA6F80"/>
    <w:lvl w:ilvl="0" w:tplc="0C090005">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C8A030B"/>
    <w:multiLevelType w:val="hybridMultilevel"/>
    <w:tmpl w:val="EB2231C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8514A8"/>
    <w:multiLevelType w:val="hybridMultilevel"/>
    <w:tmpl w:val="2AF8EDC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A6623E"/>
    <w:multiLevelType w:val="hybridMultilevel"/>
    <w:tmpl w:val="85489FBE"/>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6"/>
  </w:num>
  <w:num w:numId="2">
    <w:abstractNumId w:val="28"/>
  </w:num>
  <w:num w:numId="3">
    <w:abstractNumId w:val="4"/>
  </w:num>
  <w:num w:numId="4">
    <w:abstractNumId w:val="0"/>
  </w:num>
  <w:num w:numId="5">
    <w:abstractNumId w:val="7"/>
  </w:num>
  <w:num w:numId="6">
    <w:abstractNumId w:val="25"/>
  </w:num>
  <w:num w:numId="7">
    <w:abstractNumId w:val="39"/>
  </w:num>
  <w:num w:numId="8">
    <w:abstractNumId w:val="30"/>
  </w:num>
  <w:num w:numId="9">
    <w:abstractNumId w:val="22"/>
  </w:num>
  <w:num w:numId="10">
    <w:abstractNumId w:val="42"/>
  </w:num>
  <w:num w:numId="11">
    <w:abstractNumId w:val="43"/>
  </w:num>
  <w:num w:numId="12">
    <w:abstractNumId w:val="20"/>
  </w:num>
  <w:num w:numId="13">
    <w:abstractNumId w:val="33"/>
  </w:num>
  <w:num w:numId="14">
    <w:abstractNumId w:val="1"/>
  </w:num>
  <w:num w:numId="15">
    <w:abstractNumId w:val="18"/>
  </w:num>
  <w:num w:numId="16">
    <w:abstractNumId w:val="13"/>
  </w:num>
  <w:num w:numId="17">
    <w:abstractNumId w:val="9"/>
  </w:num>
  <w:num w:numId="18">
    <w:abstractNumId w:val="5"/>
  </w:num>
  <w:num w:numId="19">
    <w:abstractNumId w:val="10"/>
  </w:num>
  <w:num w:numId="20">
    <w:abstractNumId w:val="3"/>
  </w:num>
  <w:num w:numId="21">
    <w:abstractNumId w:val="40"/>
  </w:num>
  <w:num w:numId="22">
    <w:abstractNumId w:val="11"/>
  </w:num>
  <w:num w:numId="23">
    <w:abstractNumId w:val="14"/>
  </w:num>
  <w:num w:numId="24">
    <w:abstractNumId w:val="27"/>
  </w:num>
  <w:num w:numId="25">
    <w:abstractNumId w:val="34"/>
  </w:num>
  <w:num w:numId="26">
    <w:abstractNumId w:val="41"/>
  </w:num>
  <w:num w:numId="27">
    <w:abstractNumId w:val="31"/>
  </w:num>
  <w:num w:numId="28">
    <w:abstractNumId w:val="26"/>
  </w:num>
  <w:num w:numId="29">
    <w:abstractNumId w:val="37"/>
  </w:num>
  <w:num w:numId="30">
    <w:abstractNumId w:val="15"/>
  </w:num>
  <w:num w:numId="31">
    <w:abstractNumId w:val="6"/>
  </w:num>
  <w:num w:numId="32">
    <w:abstractNumId w:val="8"/>
  </w:num>
  <w:num w:numId="33">
    <w:abstractNumId w:val="29"/>
  </w:num>
  <w:num w:numId="34">
    <w:abstractNumId w:val="19"/>
  </w:num>
  <w:num w:numId="35">
    <w:abstractNumId w:val="32"/>
  </w:num>
  <w:num w:numId="36">
    <w:abstractNumId w:val="24"/>
  </w:num>
  <w:num w:numId="37">
    <w:abstractNumId w:val="17"/>
  </w:num>
  <w:num w:numId="38">
    <w:abstractNumId w:val="16"/>
  </w:num>
  <w:num w:numId="39">
    <w:abstractNumId w:val="35"/>
  </w:num>
  <w:num w:numId="40">
    <w:abstractNumId w:val="12"/>
  </w:num>
  <w:num w:numId="41">
    <w:abstractNumId w:val="2"/>
  </w:num>
  <w:num w:numId="42">
    <w:abstractNumId w:val="21"/>
  </w:num>
  <w:num w:numId="43">
    <w:abstractNumId w:val="38"/>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77"/>
    <w:rsid w:val="00015032"/>
    <w:rsid w:val="00021986"/>
    <w:rsid w:val="000321DE"/>
    <w:rsid w:val="0009383E"/>
    <w:rsid w:val="0009713C"/>
    <w:rsid w:val="000A27D1"/>
    <w:rsid w:val="000C4898"/>
    <w:rsid w:val="000F5BE2"/>
    <w:rsid w:val="00115289"/>
    <w:rsid w:val="00122684"/>
    <w:rsid w:val="00132976"/>
    <w:rsid w:val="00142042"/>
    <w:rsid w:val="00142F6C"/>
    <w:rsid w:val="00155831"/>
    <w:rsid w:val="001B6B0F"/>
    <w:rsid w:val="001C09AC"/>
    <w:rsid w:val="001E5176"/>
    <w:rsid w:val="001E52C5"/>
    <w:rsid w:val="001E618E"/>
    <w:rsid w:val="00204C9C"/>
    <w:rsid w:val="00212E16"/>
    <w:rsid w:val="002334C5"/>
    <w:rsid w:val="00256C0A"/>
    <w:rsid w:val="00282D52"/>
    <w:rsid w:val="00305943"/>
    <w:rsid w:val="00324A7B"/>
    <w:rsid w:val="00347ED5"/>
    <w:rsid w:val="003609CA"/>
    <w:rsid w:val="00364AB4"/>
    <w:rsid w:val="00445967"/>
    <w:rsid w:val="00453251"/>
    <w:rsid w:val="004611D0"/>
    <w:rsid w:val="0049383A"/>
    <w:rsid w:val="004A11B6"/>
    <w:rsid w:val="004B3127"/>
    <w:rsid w:val="004F1041"/>
    <w:rsid w:val="00571803"/>
    <w:rsid w:val="005A4E1A"/>
    <w:rsid w:val="005C2FB6"/>
    <w:rsid w:val="005D75CE"/>
    <w:rsid w:val="005E4BC1"/>
    <w:rsid w:val="00611F52"/>
    <w:rsid w:val="00615CD8"/>
    <w:rsid w:val="00616D43"/>
    <w:rsid w:val="00644C72"/>
    <w:rsid w:val="006464AC"/>
    <w:rsid w:val="00666957"/>
    <w:rsid w:val="00667020"/>
    <w:rsid w:val="006756C0"/>
    <w:rsid w:val="00686C3C"/>
    <w:rsid w:val="006A6C07"/>
    <w:rsid w:val="00765AC4"/>
    <w:rsid w:val="0078790D"/>
    <w:rsid w:val="007930A5"/>
    <w:rsid w:val="007C4797"/>
    <w:rsid w:val="00891FC3"/>
    <w:rsid w:val="008B7076"/>
    <w:rsid w:val="008D158B"/>
    <w:rsid w:val="008E0C88"/>
    <w:rsid w:val="008F4631"/>
    <w:rsid w:val="008F791D"/>
    <w:rsid w:val="00983FDB"/>
    <w:rsid w:val="00995484"/>
    <w:rsid w:val="009A31E7"/>
    <w:rsid w:val="009D1672"/>
    <w:rsid w:val="00A31C9B"/>
    <w:rsid w:val="00A56AC5"/>
    <w:rsid w:val="00AA0399"/>
    <w:rsid w:val="00AA174D"/>
    <w:rsid w:val="00AD4787"/>
    <w:rsid w:val="00B3315F"/>
    <w:rsid w:val="00B5068E"/>
    <w:rsid w:val="00B8405E"/>
    <w:rsid w:val="00B91E40"/>
    <w:rsid w:val="00B93BD5"/>
    <w:rsid w:val="00BF5862"/>
    <w:rsid w:val="00C05540"/>
    <w:rsid w:val="00C20201"/>
    <w:rsid w:val="00C31C4C"/>
    <w:rsid w:val="00C3603F"/>
    <w:rsid w:val="00C4728B"/>
    <w:rsid w:val="00C62EFE"/>
    <w:rsid w:val="00C74615"/>
    <w:rsid w:val="00D40321"/>
    <w:rsid w:val="00D567E0"/>
    <w:rsid w:val="00D57C18"/>
    <w:rsid w:val="00D66F43"/>
    <w:rsid w:val="00D80B82"/>
    <w:rsid w:val="00D90DE4"/>
    <w:rsid w:val="00E03D63"/>
    <w:rsid w:val="00E16414"/>
    <w:rsid w:val="00E24F32"/>
    <w:rsid w:val="00E35255"/>
    <w:rsid w:val="00E404A9"/>
    <w:rsid w:val="00E45C07"/>
    <w:rsid w:val="00E60D4F"/>
    <w:rsid w:val="00E6283C"/>
    <w:rsid w:val="00EA3677"/>
    <w:rsid w:val="00EF38D1"/>
    <w:rsid w:val="00EF49FD"/>
    <w:rsid w:val="00F14C89"/>
    <w:rsid w:val="00F67619"/>
    <w:rsid w:val="00FE00DB"/>
    <w:rsid w:val="00FF6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C302"/>
  <w15:chartTrackingRefBased/>
  <w15:docId w15:val="{A1C28DB5-5B8F-471F-B27F-A7F28509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C9B"/>
    <w:pPr>
      <w:ind w:left="720"/>
      <w:contextualSpacing/>
    </w:pPr>
  </w:style>
  <w:style w:type="table" w:customStyle="1" w:styleId="TableGrid1">
    <w:name w:val="Table Grid1"/>
    <w:basedOn w:val="TableNormal"/>
    <w:next w:val="TableGrid"/>
    <w:uiPriority w:val="39"/>
    <w:rsid w:val="00B5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8E"/>
  </w:style>
  <w:style w:type="paragraph" w:styleId="Footer">
    <w:name w:val="footer"/>
    <w:basedOn w:val="Normal"/>
    <w:link w:val="FooterChar"/>
    <w:uiPriority w:val="99"/>
    <w:unhideWhenUsed/>
    <w:qFormat/>
    <w:rsid w:val="00B5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8E"/>
  </w:style>
  <w:style w:type="paragraph" w:styleId="BalloonText">
    <w:name w:val="Balloon Text"/>
    <w:basedOn w:val="Normal"/>
    <w:link w:val="BalloonTextChar"/>
    <w:uiPriority w:val="99"/>
    <w:semiHidden/>
    <w:unhideWhenUsed/>
    <w:rsid w:val="00AA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731">
      <w:bodyDiv w:val="1"/>
      <w:marLeft w:val="0"/>
      <w:marRight w:val="0"/>
      <w:marTop w:val="0"/>
      <w:marBottom w:val="0"/>
      <w:divBdr>
        <w:top w:val="none" w:sz="0" w:space="0" w:color="auto"/>
        <w:left w:val="none" w:sz="0" w:space="0" w:color="auto"/>
        <w:bottom w:val="none" w:sz="0" w:space="0" w:color="auto"/>
        <w:right w:val="none" w:sz="0" w:space="0" w:color="auto"/>
      </w:divBdr>
    </w:div>
    <w:div w:id="269581551">
      <w:bodyDiv w:val="1"/>
      <w:marLeft w:val="0"/>
      <w:marRight w:val="0"/>
      <w:marTop w:val="0"/>
      <w:marBottom w:val="0"/>
      <w:divBdr>
        <w:top w:val="none" w:sz="0" w:space="0" w:color="auto"/>
        <w:left w:val="none" w:sz="0" w:space="0" w:color="auto"/>
        <w:bottom w:val="none" w:sz="0" w:space="0" w:color="auto"/>
        <w:right w:val="none" w:sz="0" w:space="0" w:color="auto"/>
      </w:divBdr>
    </w:div>
    <w:div w:id="15860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B14F-3559-DA4E-9B73-B3FC9E68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Levett</dc:creator>
  <cp:keywords/>
  <dc:description/>
  <cp:lastModifiedBy>Kate Griggs</cp:lastModifiedBy>
  <cp:revision>4</cp:revision>
  <cp:lastPrinted>2019-05-09T07:10:00Z</cp:lastPrinted>
  <dcterms:created xsi:type="dcterms:W3CDTF">2019-08-01T00:56:00Z</dcterms:created>
  <dcterms:modified xsi:type="dcterms:W3CDTF">2019-08-01T01:17:00Z</dcterms:modified>
</cp:coreProperties>
</file>