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51CE" w14:textId="77777777" w:rsidR="00174ADD" w:rsidRDefault="00174ADD" w:rsidP="00174ADD">
      <w:pPr>
        <w:tabs>
          <w:tab w:val="left" w:pos="6930"/>
        </w:tabs>
        <w:rPr>
          <w:rFonts w:ascii="Arial" w:hAnsi="Arial" w:cs="Arial"/>
          <w:b/>
          <w:szCs w:val="24"/>
        </w:rPr>
      </w:pPr>
    </w:p>
    <w:p w14:paraId="7DD81975" w14:textId="77777777" w:rsidR="00174ADD" w:rsidRDefault="00174ADD" w:rsidP="00174ADD">
      <w:pPr>
        <w:tabs>
          <w:tab w:val="left" w:pos="6930"/>
        </w:tabs>
        <w:rPr>
          <w:rFonts w:ascii="Arial" w:hAnsi="Arial" w:cs="Arial"/>
          <w:b/>
          <w:szCs w:val="24"/>
        </w:rPr>
      </w:pPr>
    </w:p>
    <w:p w14:paraId="6655A499" w14:textId="77777777" w:rsidR="00174ADD" w:rsidRDefault="00174ADD" w:rsidP="00174ADD">
      <w:pPr>
        <w:tabs>
          <w:tab w:val="left" w:pos="6930"/>
        </w:tabs>
        <w:rPr>
          <w:rFonts w:ascii="Arial" w:hAnsi="Arial" w:cs="Arial"/>
          <w:b/>
          <w:szCs w:val="24"/>
        </w:rPr>
      </w:pPr>
    </w:p>
    <w:p w14:paraId="7E986E99" w14:textId="77777777" w:rsidR="00174ADD" w:rsidRDefault="00174ADD" w:rsidP="00174ADD">
      <w:pPr>
        <w:tabs>
          <w:tab w:val="left" w:pos="6930"/>
        </w:tabs>
        <w:rPr>
          <w:rFonts w:ascii="Arial" w:hAnsi="Arial" w:cs="Arial"/>
          <w:b/>
          <w:szCs w:val="24"/>
        </w:rPr>
      </w:pPr>
    </w:p>
    <w:p w14:paraId="38D7EECD" w14:textId="77777777" w:rsidR="00174ADD" w:rsidRDefault="00174ADD" w:rsidP="00174ADD">
      <w:pPr>
        <w:tabs>
          <w:tab w:val="left" w:pos="6930"/>
        </w:tabs>
        <w:rPr>
          <w:rFonts w:ascii="Arial" w:hAnsi="Arial" w:cs="Arial"/>
          <w:b/>
          <w:szCs w:val="24"/>
        </w:rPr>
      </w:pPr>
    </w:p>
    <w:p w14:paraId="4EF0F4D4" w14:textId="77777777" w:rsidR="00174ADD" w:rsidRDefault="00174ADD" w:rsidP="00174ADD">
      <w:pPr>
        <w:tabs>
          <w:tab w:val="left" w:pos="6930"/>
        </w:tabs>
        <w:rPr>
          <w:rFonts w:ascii="Arial" w:hAnsi="Arial" w:cs="Arial"/>
          <w:b/>
          <w:szCs w:val="24"/>
        </w:rPr>
      </w:pPr>
    </w:p>
    <w:p w14:paraId="0CED585D" w14:textId="77777777" w:rsidR="00174ADD" w:rsidRDefault="00174ADD" w:rsidP="00174ADD">
      <w:pPr>
        <w:tabs>
          <w:tab w:val="left" w:pos="6930"/>
        </w:tabs>
        <w:rPr>
          <w:rFonts w:ascii="Arial" w:hAnsi="Arial" w:cs="Arial"/>
          <w:b/>
          <w:szCs w:val="24"/>
        </w:rPr>
      </w:pPr>
    </w:p>
    <w:p w14:paraId="0863981E" w14:textId="77777777" w:rsidR="00174ADD" w:rsidRPr="00E62B5A" w:rsidRDefault="00174ADD" w:rsidP="00174ADD">
      <w:pPr>
        <w:tabs>
          <w:tab w:val="left" w:pos="6930"/>
        </w:tabs>
        <w:rPr>
          <w:rFonts w:ascii="Arial" w:hAnsi="Arial" w:cs="Arial"/>
          <w:b/>
          <w:szCs w:val="24"/>
        </w:rPr>
      </w:pPr>
    </w:p>
    <w:p w14:paraId="6FCF7071" w14:textId="77777777" w:rsidR="00174ADD" w:rsidRDefault="00174ADD" w:rsidP="00174ADD">
      <w:pPr>
        <w:rPr>
          <w:rFonts w:ascii="Arial" w:hAnsi="Arial" w:cs="Arial"/>
          <w:b/>
          <w:sz w:val="36"/>
          <w:szCs w:val="36"/>
        </w:rPr>
      </w:pPr>
      <w:r>
        <w:rPr>
          <w:rFonts w:ascii="Arial" w:hAnsi="Arial" w:cs="Arial"/>
          <w:b/>
          <w:noProof/>
          <w:sz w:val="36"/>
          <w:szCs w:val="36"/>
          <w:lang w:val="en-US"/>
        </w:rPr>
        <mc:AlternateContent>
          <mc:Choice Requires="wps">
            <w:drawing>
              <wp:anchor distT="0" distB="0" distL="114300" distR="114300" simplePos="0" relativeHeight="251659264" behindDoc="0" locked="0" layoutInCell="1" allowOverlap="1" wp14:anchorId="74E7BB61" wp14:editId="790C77D7">
                <wp:simplePos x="0" y="0"/>
                <wp:positionH relativeFrom="margin">
                  <wp:align>left</wp:align>
                </wp:positionH>
                <wp:positionV relativeFrom="paragraph">
                  <wp:posOffset>16510</wp:posOffset>
                </wp:positionV>
                <wp:extent cx="6506210" cy="372110"/>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6506210" cy="372110"/>
                        </a:xfrm>
                        <a:prstGeom prst="rect">
                          <a:avLst/>
                        </a:prstGeom>
                        <a:solidFill>
                          <a:srgbClr val="3F9296"/>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010CC" w14:textId="77777777" w:rsidR="00174ADD" w:rsidRPr="00C7751A" w:rsidRDefault="00174ADD" w:rsidP="00174ADD">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Media Release</w:t>
                            </w:r>
                            <w:r w:rsidRPr="00C7751A">
                              <w:rPr>
                                <w:rFonts w:ascii="Calibri" w:eastAsiaTheme="minorEastAsia" w:hAnsi="Calibri" w:cs="Calibri"/>
                                <w:b/>
                                <w:bCs/>
                                <w:color w:val="FFFFFF"/>
                                <w:sz w:val="32"/>
                                <w:szCs w:val="32"/>
                                <w:lang w:val="en-US"/>
                              </w:rPr>
                              <w:t xml:space="preserve"> – </w:t>
                            </w:r>
                            <w:r>
                              <w:rPr>
                                <w:rFonts w:ascii="Calibri" w:eastAsiaTheme="minorEastAsia" w:hAnsi="Calibri" w:cs="Calibri"/>
                                <w:b/>
                                <w:bCs/>
                                <w:color w:val="FFFFFF"/>
                                <w:sz w:val="32"/>
                                <w:szCs w:val="32"/>
                                <w:lang w:val="en-US"/>
                              </w:rPr>
                              <w:t xml:space="preserve">29 November </w:t>
                            </w:r>
                            <w:r w:rsidRPr="00C7751A">
                              <w:rPr>
                                <w:rFonts w:ascii="Calibri" w:eastAsiaTheme="minorEastAsia" w:hAnsi="Calibri" w:cs="Calibri"/>
                                <w:b/>
                                <w:bCs/>
                                <w:color w:val="FFFFFF"/>
                                <w:sz w:val="32"/>
                                <w:szCs w:val="32"/>
                                <w:lang w:val="en-US"/>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7BB61" id="_x0000_t202" coordsize="21600,21600" o:spt="202" path="m,l,21600r21600,l21600,xe">
                <v:stroke joinstyle="miter"/>
                <v:path gradientshapeok="t" o:connecttype="rect"/>
              </v:shapetype>
              <v:shape id="Text Box 3" o:spid="_x0000_s1026" type="#_x0000_t202" style="position:absolute;margin-left:0;margin-top:1.3pt;width:512.3pt;height:2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" fillcolor="#3f9296" stroked="f">
                <v:textbox>
                  <w:txbxContent>
                    <w:p w14:paraId="370010CC" w14:textId="77777777" w:rsidR="00174ADD" w:rsidRPr="00C7751A" w:rsidRDefault="00174ADD" w:rsidP="00174ADD">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Media Release</w:t>
                      </w:r>
                      <w:r w:rsidRPr="00C7751A">
                        <w:rPr>
                          <w:rFonts w:ascii="Calibri" w:eastAsiaTheme="minorEastAsia" w:hAnsi="Calibri" w:cs="Calibri"/>
                          <w:b/>
                          <w:bCs/>
                          <w:color w:val="FFFFFF"/>
                          <w:sz w:val="32"/>
                          <w:szCs w:val="32"/>
                          <w:lang w:val="en-US"/>
                        </w:rPr>
                        <w:t xml:space="preserve"> – </w:t>
                      </w:r>
                      <w:r>
                        <w:rPr>
                          <w:rFonts w:ascii="Calibri" w:eastAsiaTheme="minorEastAsia" w:hAnsi="Calibri" w:cs="Calibri"/>
                          <w:b/>
                          <w:bCs/>
                          <w:color w:val="FFFFFF"/>
                          <w:sz w:val="32"/>
                          <w:szCs w:val="32"/>
                          <w:lang w:val="en-US"/>
                        </w:rPr>
                        <w:t xml:space="preserve">29 November </w:t>
                      </w:r>
                      <w:r w:rsidRPr="00C7751A">
                        <w:rPr>
                          <w:rFonts w:ascii="Calibri" w:eastAsiaTheme="minorEastAsia" w:hAnsi="Calibri" w:cs="Calibri"/>
                          <w:b/>
                          <w:bCs/>
                          <w:color w:val="FFFFFF"/>
                          <w:sz w:val="32"/>
                          <w:szCs w:val="32"/>
                          <w:lang w:val="en-US"/>
                        </w:rPr>
                        <w:t>2019</w:t>
                      </w:r>
                    </w:p>
                  </w:txbxContent>
                </v:textbox>
                <w10:wrap anchorx="margin"/>
              </v:shape>
            </w:pict>
          </mc:Fallback>
        </mc:AlternateContent>
      </w:r>
    </w:p>
    <w:p w14:paraId="04198C13" w14:textId="77777777" w:rsidR="00174ADD" w:rsidRDefault="00174ADD" w:rsidP="00174ADD">
      <w:pPr>
        <w:rPr>
          <w:rFonts w:asciiTheme="majorHAnsi" w:hAnsiTheme="majorHAnsi" w:cstheme="majorHAnsi"/>
          <w:b/>
          <w:color w:val="121212"/>
          <w:sz w:val="22"/>
          <w:szCs w:val="22"/>
          <w:shd w:val="clear" w:color="auto" w:fill="FFFFFF"/>
        </w:rPr>
      </w:pPr>
      <w:r w:rsidRPr="003C0627">
        <w:rPr>
          <w:rFonts w:asciiTheme="majorHAnsi" w:hAnsiTheme="majorHAnsi" w:cstheme="majorHAnsi"/>
          <w:sz w:val="22"/>
          <w:szCs w:val="22"/>
        </w:rPr>
        <w:br/>
      </w:r>
    </w:p>
    <w:p w14:paraId="489D8FC5" w14:textId="77777777" w:rsidR="00174ADD" w:rsidRPr="00F350D3" w:rsidRDefault="00174ADD" w:rsidP="00174ADD">
      <w:pPr>
        <w:rPr>
          <w:rFonts w:asciiTheme="majorHAnsi" w:hAnsiTheme="majorHAnsi" w:cstheme="majorHAnsi"/>
          <w:bCs/>
          <w:color w:val="121212"/>
          <w:szCs w:val="24"/>
          <w:shd w:val="clear" w:color="auto" w:fill="FFFFFF"/>
        </w:rPr>
      </w:pPr>
    </w:p>
    <w:p w14:paraId="5FA155DA" w14:textId="7ECF61BF" w:rsidR="00174ADD" w:rsidRPr="00F350D3" w:rsidRDefault="00174ADD" w:rsidP="00174ADD">
      <w:pPr>
        <w:rPr>
          <w:rFonts w:asciiTheme="majorHAnsi" w:hAnsiTheme="majorHAnsi" w:cstheme="majorHAnsi"/>
          <w:b/>
          <w:color w:val="121212"/>
          <w:szCs w:val="24"/>
          <w:shd w:val="clear" w:color="auto" w:fill="FFFFFF"/>
        </w:rPr>
      </w:pPr>
      <w:r w:rsidRPr="00F350D3">
        <w:rPr>
          <w:rFonts w:asciiTheme="majorHAnsi" w:hAnsiTheme="majorHAnsi" w:cstheme="majorHAnsi"/>
          <w:b/>
          <w:color w:val="121212"/>
          <w:szCs w:val="24"/>
          <w:shd w:val="clear" w:color="auto" w:fill="FFFFFF"/>
        </w:rPr>
        <w:t>Tasmania</w:t>
      </w:r>
      <w:r>
        <w:rPr>
          <w:rFonts w:asciiTheme="majorHAnsi" w:hAnsiTheme="majorHAnsi" w:cstheme="majorHAnsi"/>
          <w:b/>
          <w:color w:val="121212"/>
          <w:szCs w:val="24"/>
          <w:shd w:val="clear" w:color="auto" w:fill="FFFFFF"/>
        </w:rPr>
        <w:t>ns</w:t>
      </w:r>
      <w:r w:rsidRPr="00F350D3">
        <w:rPr>
          <w:rFonts w:asciiTheme="majorHAnsi" w:hAnsiTheme="majorHAnsi" w:cstheme="majorHAnsi"/>
          <w:b/>
          <w:color w:val="121212"/>
          <w:szCs w:val="24"/>
          <w:shd w:val="clear" w:color="auto" w:fill="FFFFFF"/>
        </w:rPr>
        <w:t xml:space="preserve"> ha</w:t>
      </w:r>
      <w:r>
        <w:rPr>
          <w:rFonts w:asciiTheme="majorHAnsi" w:hAnsiTheme="majorHAnsi" w:cstheme="majorHAnsi"/>
          <w:b/>
          <w:color w:val="121212"/>
          <w:szCs w:val="24"/>
          <w:shd w:val="clear" w:color="auto" w:fill="FFFFFF"/>
        </w:rPr>
        <w:t>ve</w:t>
      </w:r>
      <w:r w:rsidRPr="00F350D3">
        <w:rPr>
          <w:rFonts w:asciiTheme="majorHAnsi" w:hAnsiTheme="majorHAnsi" w:cstheme="majorHAnsi"/>
          <w:b/>
          <w:color w:val="121212"/>
          <w:szCs w:val="24"/>
          <w:shd w:val="clear" w:color="auto" w:fill="FFFFFF"/>
        </w:rPr>
        <w:t xml:space="preserve"> </w:t>
      </w:r>
      <w:r w:rsidR="00A661AC">
        <w:rPr>
          <w:rFonts w:asciiTheme="majorHAnsi" w:hAnsiTheme="majorHAnsi" w:cstheme="majorHAnsi"/>
          <w:b/>
          <w:color w:val="121212"/>
          <w:szCs w:val="24"/>
          <w:shd w:val="clear" w:color="auto" w:fill="FFFFFF"/>
        </w:rPr>
        <w:t>their</w:t>
      </w:r>
      <w:r w:rsidRPr="00F350D3">
        <w:rPr>
          <w:rFonts w:asciiTheme="majorHAnsi" w:hAnsiTheme="majorHAnsi" w:cstheme="majorHAnsi"/>
          <w:b/>
          <w:color w:val="121212"/>
          <w:szCs w:val="24"/>
          <w:shd w:val="clear" w:color="auto" w:fill="FFFFFF"/>
        </w:rPr>
        <w:t xml:space="preserve"> say on the </w:t>
      </w:r>
      <w:r w:rsidR="00A661AC">
        <w:rPr>
          <w:rFonts w:asciiTheme="majorHAnsi" w:hAnsiTheme="majorHAnsi" w:cstheme="majorHAnsi"/>
          <w:b/>
          <w:color w:val="121212"/>
          <w:szCs w:val="24"/>
          <w:shd w:val="clear" w:color="auto" w:fill="FFFFFF"/>
        </w:rPr>
        <w:t>Australian C</w:t>
      </w:r>
      <w:r w:rsidRPr="00F350D3">
        <w:rPr>
          <w:rFonts w:asciiTheme="majorHAnsi" w:hAnsiTheme="majorHAnsi" w:cstheme="majorHAnsi"/>
          <w:b/>
          <w:color w:val="121212"/>
          <w:szCs w:val="24"/>
          <w:shd w:val="clear" w:color="auto" w:fill="FFFFFF"/>
        </w:rPr>
        <w:t xml:space="preserve">harter of </w:t>
      </w:r>
      <w:r w:rsidR="00A661AC">
        <w:rPr>
          <w:rFonts w:asciiTheme="majorHAnsi" w:hAnsiTheme="majorHAnsi" w:cstheme="majorHAnsi"/>
          <w:b/>
          <w:color w:val="121212"/>
          <w:szCs w:val="24"/>
          <w:shd w:val="clear" w:color="auto" w:fill="FFFFFF"/>
        </w:rPr>
        <w:t>H</w:t>
      </w:r>
      <w:r w:rsidRPr="00F350D3">
        <w:rPr>
          <w:rFonts w:asciiTheme="majorHAnsi" w:hAnsiTheme="majorHAnsi" w:cstheme="majorHAnsi"/>
          <w:b/>
          <w:color w:val="121212"/>
          <w:szCs w:val="24"/>
          <w:shd w:val="clear" w:color="auto" w:fill="FFFFFF"/>
        </w:rPr>
        <w:t xml:space="preserve">ealthcare </w:t>
      </w:r>
      <w:r w:rsidR="00A661AC">
        <w:rPr>
          <w:rFonts w:asciiTheme="majorHAnsi" w:hAnsiTheme="majorHAnsi" w:cstheme="majorHAnsi"/>
          <w:b/>
          <w:color w:val="121212"/>
          <w:szCs w:val="24"/>
          <w:shd w:val="clear" w:color="auto" w:fill="FFFFFF"/>
        </w:rPr>
        <w:t>R</w:t>
      </w:r>
      <w:r w:rsidRPr="00F350D3">
        <w:rPr>
          <w:rFonts w:asciiTheme="majorHAnsi" w:hAnsiTheme="majorHAnsi" w:cstheme="majorHAnsi"/>
          <w:b/>
          <w:color w:val="121212"/>
          <w:szCs w:val="24"/>
          <w:shd w:val="clear" w:color="auto" w:fill="FFFFFF"/>
        </w:rPr>
        <w:t>ights</w:t>
      </w:r>
    </w:p>
    <w:p w14:paraId="4B676B81" w14:textId="77777777" w:rsidR="00174ADD" w:rsidRPr="00F350D3" w:rsidRDefault="00174ADD" w:rsidP="00174ADD">
      <w:pPr>
        <w:rPr>
          <w:rFonts w:asciiTheme="majorHAnsi" w:hAnsiTheme="majorHAnsi" w:cstheme="majorHAnsi"/>
          <w:bCs/>
          <w:color w:val="121212"/>
          <w:szCs w:val="24"/>
          <w:shd w:val="clear" w:color="auto" w:fill="FFFFFF"/>
        </w:rPr>
      </w:pPr>
    </w:p>
    <w:p w14:paraId="59940F80" w14:textId="329F8F58" w:rsidR="00174ADD" w:rsidRDefault="00174ADD" w:rsidP="00174ADD">
      <w:pPr>
        <w:rPr>
          <w:rFonts w:asciiTheme="majorHAnsi" w:hAnsiTheme="majorHAnsi" w:cstheme="majorHAnsi"/>
          <w:bCs/>
          <w:color w:val="121212"/>
          <w:szCs w:val="24"/>
          <w:shd w:val="clear" w:color="auto" w:fill="FFFFFF"/>
        </w:rPr>
      </w:pPr>
      <w:r w:rsidRPr="00F350D3">
        <w:rPr>
          <w:rFonts w:asciiTheme="majorHAnsi" w:hAnsiTheme="majorHAnsi" w:cstheme="majorHAnsi"/>
          <w:bCs/>
          <w:color w:val="121212"/>
          <w:szCs w:val="24"/>
          <w:shd w:val="clear" w:color="auto" w:fill="FFFFFF"/>
        </w:rPr>
        <w:t xml:space="preserve">The Commission responsible for </w:t>
      </w:r>
      <w:r w:rsidR="00907751">
        <w:rPr>
          <w:rFonts w:asciiTheme="majorHAnsi" w:hAnsiTheme="majorHAnsi" w:cstheme="majorHAnsi"/>
          <w:bCs/>
          <w:color w:val="121212"/>
          <w:szCs w:val="24"/>
          <w:shd w:val="clear" w:color="auto" w:fill="FFFFFF"/>
        </w:rPr>
        <w:t>delivering</w:t>
      </w:r>
      <w:r w:rsidR="00907751" w:rsidRPr="00F350D3">
        <w:rPr>
          <w:rFonts w:asciiTheme="majorHAnsi" w:hAnsiTheme="majorHAnsi" w:cstheme="majorHAnsi"/>
          <w:bCs/>
          <w:color w:val="121212"/>
          <w:szCs w:val="24"/>
          <w:shd w:val="clear" w:color="auto" w:fill="FFFFFF"/>
        </w:rPr>
        <w:t xml:space="preserve"> </w:t>
      </w:r>
      <w:r w:rsidRPr="00F350D3">
        <w:rPr>
          <w:rFonts w:asciiTheme="majorHAnsi" w:hAnsiTheme="majorHAnsi" w:cstheme="majorHAnsi"/>
          <w:bCs/>
          <w:color w:val="121212"/>
          <w:szCs w:val="24"/>
          <w:shd w:val="clear" w:color="auto" w:fill="FFFFFF"/>
        </w:rPr>
        <w:t>the Australian Charter of Healthcare Rights</w:t>
      </w:r>
      <w:r>
        <w:rPr>
          <w:rFonts w:asciiTheme="majorHAnsi" w:hAnsiTheme="majorHAnsi" w:cstheme="majorHAnsi"/>
          <w:bCs/>
          <w:color w:val="121212"/>
          <w:szCs w:val="24"/>
          <w:shd w:val="clear" w:color="auto" w:fill="FFFFFF"/>
        </w:rPr>
        <w:t>,</w:t>
      </w:r>
      <w:r w:rsidRPr="00F350D3">
        <w:rPr>
          <w:rFonts w:asciiTheme="majorHAnsi" w:hAnsiTheme="majorHAnsi" w:cstheme="majorHAnsi"/>
          <w:bCs/>
          <w:color w:val="121212"/>
          <w:szCs w:val="24"/>
          <w:shd w:val="clear" w:color="auto" w:fill="FFFFFF"/>
        </w:rPr>
        <w:t xml:space="preserve"> </w:t>
      </w:r>
      <w:r>
        <w:rPr>
          <w:rFonts w:asciiTheme="majorHAnsi" w:hAnsiTheme="majorHAnsi" w:cstheme="majorHAnsi"/>
          <w:bCs/>
          <w:color w:val="121212"/>
          <w:szCs w:val="24"/>
          <w:shd w:val="clear" w:color="auto" w:fill="FFFFFF"/>
        </w:rPr>
        <w:t xml:space="preserve">the </w:t>
      </w:r>
      <w:r w:rsidRPr="00F350D3">
        <w:rPr>
          <w:rFonts w:asciiTheme="majorHAnsi" w:hAnsiTheme="majorHAnsi" w:cstheme="majorHAnsi"/>
          <w:bCs/>
          <w:color w:val="121212"/>
          <w:szCs w:val="24"/>
          <w:shd w:val="clear" w:color="auto" w:fill="FFFFFF"/>
        </w:rPr>
        <w:t>Australian Commission on Safety and Quality in Health Care</w:t>
      </w:r>
      <w:r>
        <w:rPr>
          <w:rFonts w:asciiTheme="majorHAnsi" w:hAnsiTheme="majorHAnsi" w:cstheme="majorHAnsi"/>
          <w:bCs/>
          <w:color w:val="121212"/>
          <w:szCs w:val="24"/>
          <w:shd w:val="clear" w:color="auto" w:fill="FFFFFF"/>
        </w:rPr>
        <w:t>,</w:t>
      </w:r>
      <w:r w:rsidRPr="00F350D3">
        <w:rPr>
          <w:rFonts w:asciiTheme="majorHAnsi" w:hAnsiTheme="majorHAnsi" w:cstheme="majorHAnsi"/>
          <w:bCs/>
          <w:color w:val="121212"/>
          <w:szCs w:val="24"/>
          <w:shd w:val="clear" w:color="auto" w:fill="FFFFFF"/>
        </w:rPr>
        <w:t xml:space="preserve"> travelled to Tasmania to seek feedback on the</w:t>
      </w:r>
      <w:r w:rsidR="00907751">
        <w:rPr>
          <w:rFonts w:asciiTheme="majorHAnsi" w:hAnsiTheme="majorHAnsi" w:cstheme="majorHAnsi"/>
          <w:bCs/>
          <w:color w:val="121212"/>
          <w:szCs w:val="24"/>
          <w:shd w:val="clear" w:color="auto" w:fill="FFFFFF"/>
        </w:rPr>
        <w:t xml:space="preserve"> second edition of the </w:t>
      </w:r>
      <w:r w:rsidRPr="00F350D3">
        <w:rPr>
          <w:rFonts w:asciiTheme="majorHAnsi" w:hAnsiTheme="majorHAnsi" w:cstheme="majorHAnsi"/>
          <w:bCs/>
          <w:color w:val="121212"/>
          <w:szCs w:val="24"/>
          <w:shd w:val="clear" w:color="auto" w:fill="FFFFFF"/>
        </w:rPr>
        <w:t>Charter.</w:t>
      </w:r>
    </w:p>
    <w:p w14:paraId="12985E3B" w14:textId="2F722D2C" w:rsidR="00F075FC" w:rsidRDefault="00F075FC" w:rsidP="00174ADD">
      <w:pPr>
        <w:rPr>
          <w:rFonts w:asciiTheme="majorHAnsi" w:hAnsiTheme="majorHAnsi" w:cstheme="majorHAnsi"/>
          <w:bCs/>
          <w:color w:val="121212"/>
          <w:szCs w:val="24"/>
          <w:shd w:val="clear" w:color="auto" w:fill="FFFFFF"/>
        </w:rPr>
      </w:pPr>
    </w:p>
    <w:p w14:paraId="4A3BADFA" w14:textId="242FFC85" w:rsidR="00F075FC" w:rsidRPr="00172B2C" w:rsidRDefault="00172B2C" w:rsidP="00174ADD">
      <w:pPr>
        <w:rPr>
          <w:rFonts w:asciiTheme="majorHAnsi" w:hAnsiTheme="majorHAnsi" w:cstheme="majorHAnsi"/>
          <w:color w:val="000000"/>
          <w:szCs w:val="24"/>
        </w:rPr>
      </w:pPr>
      <w:r>
        <w:rPr>
          <w:rFonts w:asciiTheme="majorHAnsi" w:hAnsiTheme="majorHAnsi" w:cstheme="majorHAnsi"/>
          <w:color w:val="000000"/>
          <w:szCs w:val="24"/>
        </w:rPr>
        <w:t xml:space="preserve">Sixteen </w:t>
      </w:r>
      <w:r w:rsidR="00F075FC">
        <w:rPr>
          <w:rFonts w:asciiTheme="majorHAnsi" w:hAnsiTheme="majorHAnsi" w:cstheme="majorHAnsi"/>
          <w:color w:val="000000"/>
          <w:szCs w:val="24"/>
        </w:rPr>
        <w:t xml:space="preserve">people from across Tasmania, from Burnie to Huonville, travelled to Hobart to attend the workshop. It was coordinated by Health Consumers Tasmania, </w:t>
      </w:r>
      <w:r w:rsidR="00F075FC">
        <w:rPr>
          <w:rFonts w:asciiTheme="majorHAnsi" w:hAnsiTheme="majorHAnsi" w:cstheme="majorHAnsi"/>
          <w:bCs/>
          <w:color w:val="121212"/>
          <w:szCs w:val="24"/>
          <w:shd w:val="clear" w:color="auto" w:fill="FFFFFF"/>
        </w:rPr>
        <w:t>the recently established peak body for consumer advocacy in accessing the Tasmanian health system.</w:t>
      </w:r>
    </w:p>
    <w:p w14:paraId="202380F6" w14:textId="73C4A3CB" w:rsidR="00174ADD" w:rsidRDefault="00174ADD" w:rsidP="00174ADD">
      <w:pPr>
        <w:rPr>
          <w:rFonts w:asciiTheme="majorHAnsi" w:hAnsiTheme="majorHAnsi" w:cstheme="majorHAnsi"/>
          <w:bCs/>
          <w:color w:val="121212"/>
          <w:szCs w:val="24"/>
          <w:shd w:val="clear" w:color="auto" w:fill="FFFFFF"/>
        </w:rPr>
      </w:pPr>
    </w:p>
    <w:p w14:paraId="1BB38918" w14:textId="0A93FFC0" w:rsidR="00B565A7" w:rsidRDefault="00B565A7" w:rsidP="00B565A7">
      <w:pPr>
        <w:rPr>
          <w:rFonts w:asciiTheme="majorHAnsi" w:hAnsiTheme="majorHAnsi" w:cstheme="majorHAnsi"/>
          <w:color w:val="000000"/>
          <w:szCs w:val="24"/>
        </w:rPr>
      </w:pPr>
      <w:r>
        <w:rPr>
          <w:rFonts w:asciiTheme="majorHAnsi" w:hAnsiTheme="majorHAnsi" w:cstheme="majorHAnsi"/>
          <w:color w:val="000000"/>
          <w:szCs w:val="24"/>
        </w:rPr>
        <w:t xml:space="preserve">The updated Charter was launched in August this year after extensive consultation with consumers, health service staff and policy makers nationwide. </w:t>
      </w:r>
    </w:p>
    <w:p w14:paraId="6F7B99B5" w14:textId="77777777" w:rsidR="00B565A7" w:rsidRPr="00F350D3" w:rsidRDefault="00B565A7" w:rsidP="00174ADD">
      <w:pPr>
        <w:rPr>
          <w:rFonts w:asciiTheme="majorHAnsi" w:hAnsiTheme="majorHAnsi" w:cstheme="majorHAnsi"/>
          <w:bCs/>
          <w:color w:val="121212"/>
          <w:szCs w:val="24"/>
          <w:shd w:val="clear" w:color="auto" w:fill="FFFFFF"/>
        </w:rPr>
      </w:pPr>
    </w:p>
    <w:p w14:paraId="0D172095" w14:textId="11D4269D" w:rsidR="00174ADD" w:rsidRDefault="00B565A7" w:rsidP="00174ADD">
      <w:pPr>
        <w:rPr>
          <w:rFonts w:asciiTheme="majorHAnsi" w:hAnsiTheme="majorHAnsi" w:cstheme="majorHAnsi"/>
          <w:color w:val="000000"/>
          <w:szCs w:val="24"/>
        </w:rPr>
      </w:pPr>
      <w:r>
        <w:rPr>
          <w:rFonts w:asciiTheme="majorHAnsi" w:hAnsiTheme="majorHAnsi" w:cstheme="majorHAnsi"/>
          <w:bCs/>
          <w:color w:val="121212"/>
          <w:szCs w:val="24"/>
          <w:shd w:val="clear" w:color="auto" w:fill="FFFFFF"/>
        </w:rPr>
        <w:t>The</w:t>
      </w:r>
      <w:r w:rsidR="00174ADD">
        <w:rPr>
          <w:rFonts w:asciiTheme="majorHAnsi" w:hAnsiTheme="majorHAnsi" w:cstheme="majorHAnsi"/>
          <w:bCs/>
          <w:color w:val="121212"/>
          <w:szCs w:val="24"/>
          <w:shd w:val="clear" w:color="auto" w:fill="FFFFFF"/>
        </w:rPr>
        <w:t xml:space="preserve"> Commission’s representative,</w:t>
      </w:r>
      <w:r w:rsidR="00174ADD" w:rsidRPr="00F350D3">
        <w:rPr>
          <w:rFonts w:asciiTheme="majorHAnsi" w:hAnsiTheme="majorHAnsi" w:cstheme="majorHAnsi"/>
          <w:bCs/>
          <w:color w:val="121212"/>
          <w:szCs w:val="24"/>
          <w:shd w:val="clear" w:color="auto" w:fill="FFFFFF"/>
        </w:rPr>
        <w:t xml:space="preserve"> Naomi Poole,</w:t>
      </w:r>
      <w:r>
        <w:rPr>
          <w:rFonts w:asciiTheme="majorHAnsi" w:hAnsiTheme="majorHAnsi" w:cstheme="majorHAnsi"/>
          <w:bCs/>
          <w:color w:val="121212"/>
          <w:szCs w:val="24"/>
          <w:shd w:val="clear" w:color="auto" w:fill="FFFFFF"/>
        </w:rPr>
        <w:t xml:space="preserve"> said</w:t>
      </w:r>
      <w:r w:rsidR="00174ADD" w:rsidRPr="00F350D3">
        <w:rPr>
          <w:rFonts w:asciiTheme="majorHAnsi" w:hAnsiTheme="majorHAnsi" w:cstheme="majorHAnsi"/>
          <w:bCs/>
          <w:color w:val="121212"/>
          <w:szCs w:val="24"/>
          <w:shd w:val="clear" w:color="auto" w:fill="FFFFFF"/>
        </w:rPr>
        <w:t xml:space="preserve"> </w:t>
      </w:r>
      <w:r w:rsidR="00174ADD" w:rsidRPr="00F350D3">
        <w:rPr>
          <w:rFonts w:asciiTheme="majorHAnsi" w:hAnsiTheme="majorHAnsi" w:cstheme="majorHAnsi"/>
          <w:color w:val="000000"/>
          <w:szCs w:val="24"/>
        </w:rPr>
        <w:t xml:space="preserve">"The meeting </w:t>
      </w:r>
      <w:r w:rsidR="00F075FC">
        <w:rPr>
          <w:rFonts w:asciiTheme="majorHAnsi" w:hAnsiTheme="majorHAnsi" w:cstheme="majorHAnsi"/>
          <w:color w:val="000000"/>
          <w:szCs w:val="24"/>
        </w:rPr>
        <w:t xml:space="preserve">was </w:t>
      </w:r>
      <w:r w:rsidR="00174ADD" w:rsidRPr="00F350D3">
        <w:rPr>
          <w:rFonts w:asciiTheme="majorHAnsi" w:hAnsiTheme="majorHAnsi" w:cstheme="majorHAnsi"/>
          <w:color w:val="000000"/>
          <w:szCs w:val="24"/>
        </w:rPr>
        <w:t>a great opportunity to hear about what matters to Tasmanian consumers. To work together to improve people’s understanding of their healthcare rights."</w:t>
      </w:r>
    </w:p>
    <w:p w14:paraId="536B1A66" w14:textId="77777777" w:rsidR="00174ADD" w:rsidRDefault="00174ADD" w:rsidP="00174ADD">
      <w:pPr>
        <w:rPr>
          <w:rFonts w:asciiTheme="majorHAnsi" w:hAnsiTheme="majorHAnsi" w:cstheme="majorHAnsi"/>
          <w:color w:val="000000"/>
          <w:szCs w:val="24"/>
        </w:rPr>
      </w:pPr>
    </w:p>
    <w:p w14:paraId="4EE0A288" w14:textId="29B3C167" w:rsidR="00174ADD" w:rsidRDefault="00174ADD" w:rsidP="00174ADD">
      <w:pPr>
        <w:rPr>
          <w:rFonts w:asciiTheme="majorHAnsi" w:hAnsiTheme="majorHAnsi" w:cstheme="majorHAnsi"/>
          <w:color w:val="000000"/>
          <w:szCs w:val="24"/>
        </w:rPr>
      </w:pPr>
      <w:r>
        <w:rPr>
          <w:rFonts w:asciiTheme="majorHAnsi" w:hAnsiTheme="majorHAnsi" w:cstheme="majorHAnsi"/>
          <w:color w:val="000000"/>
          <w:szCs w:val="24"/>
        </w:rPr>
        <w:t>CEO of Health Consumers Tasmania, Bruce Levett, said, “The Charter outlines the rights of consumers accessing health care in Australia and these rights cover the fundamental right of access to health care”.</w:t>
      </w:r>
    </w:p>
    <w:p w14:paraId="610CCE1E" w14:textId="434C3675" w:rsidR="002C1490" w:rsidRDefault="002C1490" w:rsidP="00174ADD">
      <w:pPr>
        <w:rPr>
          <w:rFonts w:asciiTheme="majorHAnsi" w:hAnsiTheme="majorHAnsi" w:cstheme="majorHAnsi"/>
          <w:color w:val="000000"/>
          <w:szCs w:val="24"/>
        </w:rPr>
      </w:pPr>
    </w:p>
    <w:p w14:paraId="5DD1ED03" w14:textId="386AE8FD" w:rsidR="002C1490" w:rsidRDefault="002C1490" w:rsidP="00174ADD">
      <w:pPr>
        <w:rPr>
          <w:rFonts w:asciiTheme="majorHAnsi" w:hAnsiTheme="majorHAnsi" w:cstheme="majorHAnsi"/>
          <w:color w:val="000000"/>
          <w:szCs w:val="24"/>
        </w:rPr>
      </w:pPr>
      <w:r>
        <w:rPr>
          <w:rFonts w:asciiTheme="majorHAnsi" w:hAnsiTheme="majorHAnsi" w:cstheme="majorHAnsi"/>
          <w:color w:val="000000"/>
          <w:szCs w:val="24"/>
        </w:rPr>
        <w:t xml:space="preserve">“For Tasmanians, this may mean they are given clear information about services including waiting times and costs and what the implications will be on their health and wellbeing”. </w:t>
      </w:r>
    </w:p>
    <w:p w14:paraId="1AC80F54" w14:textId="77777777" w:rsidR="00174ADD" w:rsidRDefault="00174ADD" w:rsidP="00174ADD">
      <w:pPr>
        <w:rPr>
          <w:rFonts w:asciiTheme="majorHAnsi" w:hAnsiTheme="majorHAnsi" w:cstheme="majorHAnsi"/>
          <w:color w:val="000000"/>
          <w:szCs w:val="24"/>
        </w:rPr>
      </w:pPr>
    </w:p>
    <w:p w14:paraId="7A836A38" w14:textId="194BA9BB" w:rsidR="00F075FC" w:rsidRDefault="00174ADD" w:rsidP="00174ADD">
      <w:pPr>
        <w:rPr>
          <w:rFonts w:asciiTheme="majorHAnsi" w:hAnsiTheme="majorHAnsi" w:cstheme="majorHAnsi"/>
          <w:color w:val="000000"/>
          <w:szCs w:val="24"/>
        </w:rPr>
      </w:pPr>
      <w:r>
        <w:rPr>
          <w:rFonts w:asciiTheme="majorHAnsi" w:hAnsiTheme="majorHAnsi" w:cstheme="majorHAnsi"/>
          <w:color w:val="000000"/>
          <w:szCs w:val="24"/>
        </w:rPr>
        <w:t xml:space="preserve">The Charter describes what you, or someone you care for, can expect when receiving health care. </w:t>
      </w:r>
      <w:r w:rsidR="00DD14DC">
        <w:rPr>
          <w:rFonts w:asciiTheme="majorHAnsi" w:hAnsiTheme="majorHAnsi" w:cstheme="majorHAnsi"/>
          <w:color w:val="000000"/>
          <w:szCs w:val="24"/>
        </w:rPr>
        <w:t>It includes</w:t>
      </w:r>
      <w:r w:rsidR="00F075FC">
        <w:rPr>
          <w:rFonts w:asciiTheme="majorHAnsi" w:hAnsiTheme="majorHAnsi" w:cstheme="majorHAnsi"/>
          <w:color w:val="000000"/>
          <w:szCs w:val="24"/>
        </w:rPr>
        <w:t>:</w:t>
      </w:r>
    </w:p>
    <w:p w14:paraId="57E9949E" w14:textId="2021D1F1" w:rsidR="00F075FC" w:rsidRDefault="00F075FC"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 xml:space="preserve">Access </w:t>
      </w:r>
      <w:r w:rsidR="002C1490">
        <w:rPr>
          <w:rFonts w:asciiTheme="majorHAnsi" w:hAnsiTheme="majorHAnsi" w:cstheme="majorHAnsi"/>
          <w:color w:val="000000"/>
          <w:szCs w:val="24"/>
        </w:rPr>
        <w:t xml:space="preserve">to healthcare services and treatment that meets your needs, including physical and financial barriers, regardless of where you live, </w:t>
      </w:r>
    </w:p>
    <w:p w14:paraId="4ED07CBD" w14:textId="53C3F13B" w:rsidR="00F075FC" w:rsidRDefault="002C1490"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S</w:t>
      </w:r>
      <w:r w:rsidR="00174ADD" w:rsidRPr="00172B2C">
        <w:rPr>
          <w:rFonts w:asciiTheme="majorHAnsi" w:hAnsiTheme="majorHAnsi" w:cstheme="majorHAnsi"/>
          <w:color w:val="000000"/>
          <w:szCs w:val="24"/>
        </w:rPr>
        <w:t>afe and high-quality health care</w:t>
      </w:r>
    </w:p>
    <w:p w14:paraId="688C64A4" w14:textId="66181FB4" w:rsidR="00F075FC" w:rsidRDefault="002C1490"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B</w:t>
      </w:r>
      <w:r w:rsidR="00174ADD" w:rsidRPr="00172B2C">
        <w:rPr>
          <w:rFonts w:asciiTheme="majorHAnsi" w:hAnsiTheme="majorHAnsi" w:cstheme="majorHAnsi"/>
          <w:color w:val="000000"/>
          <w:szCs w:val="24"/>
        </w:rPr>
        <w:t>eing treated respectfully</w:t>
      </w:r>
    </w:p>
    <w:p w14:paraId="1B749F88" w14:textId="7F477256" w:rsidR="00F075FC" w:rsidRDefault="002C1490"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R</w:t>
      </w:r>
      <w:r w:rsidR="00F075FC">
        <w:rPr>
          <w:rFonts w:asciiTheme="majorHAnsi" w:hAnsiTheme="majorHAnsi" w:cstheme="majorHAnsi"/>
          <w:color w:val="000000"/>
          <w:szCs w:val="24"/>
        </w:rPr>
        <w:t>eceiving</w:t>
      </w:r>
      <w:r w:rsidR="00174ADD" w:rsidRPr="00172B2C">
        <w:rPr>
          <w:rFonts w:asciiTheme="majorHAnsi" w:hAnsiTheme="majorHAnsi" w:cstheme="majorHAnsi"/>
          <w:color w:val="000000"/>
          <w:szCs w:val="24"/>
        </w:rPr>
        <w:t xml:space="preserve"> privacy</w:t>
      </w:r>
    </w:p>
    <w:p w14:paraId="649A4CB7" w14:textId="252B61CB" w:rsidR="00F075FC" w:rsidRDefault="002C1490"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T</w:t>
      </w:r>
      <w:r w:rsidR="00F075FC" w:rsidRPr="004E4F48">
        <w:rPr>
          <w:rFonts w:asciiTheme="majorHAnsi" w:hAnsiTheme="majorHAnsi" w:cstheme="majorHAnsi"/>
          <w:color w:val="000000"/>
          <w:szCs w:val="24"/>
        </w:rPr>
        <w:t xml:space="preserve">he ability to ask questions </w:t>
      </w:r>
      <w:r w:rsidR="00F075FC">
        <w:rPr>
          <w:rFonts w:asciiTheme="majorHAnsi" w:hAnsiTheme="majorHAnsi" w:cstheme="majorHAnsi"/>
          <w:color w:val="000000"/>
          <w:szCs w:val="24"/>
        </w:rPr>
        <w:t>and participate in planning and decision-making</w:t>
      </w:r>
    </w:p>
    <w:p w14:paraId="3A2CBB41" w14:textId="5C2E1D1E" w:rsidR="00F075FC" w:rsidRDefault="00F075FC" w:rsidP="00F075FC">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Rece</w:t>
      </w:r>
      <w:r w:rsidR="00174ADD" w:rsidRPr="00172B2C">
        <w:rPr>
          <w:rFonts w:asciiTheme="majorHAnsi" w:hAnsiTheme="majorHAnsi" w:cstheme="majorHAnsi"/>
          <w:color w:val="000000"/>
          <w:szCs w:val="24"/>
        </w:rPr>
        <w:t>iving clear information about your condition and the benefits, costs and any risks associated with your treatment</w:t>
      </w:r>
    </w:p>
    <w:p w14:paraId="78AEDE37" w14:textId="7F3EFAE2" w:rsidR="002C1490" w:rsidRDefault="002C1490" w:rsidP="002C1490">
      <w:pPr>
        <w:pStyle w:val="ListParagraph"/>
        <w:numPr>
          <w:ilvl w:val="0"/>
          <w:numId w:val="1"/>
        </w:numPr>
        <w:rPr>
          <w:rFonts w:asciiTheme="majorHAnsi" w:hAnsiTheme="majorHAnsi" w:cstheme="majorHAnsi"/>
          <w:color w:val="000000"/>
          <w:szCs w:val="24"/>
        </w:rPr>
      </w:pPr>
      <w:r>
        <w:rPr>
          <w:rFonts w:asciiTheme="majorHAnsi" w:hAnsiTheme="majorHAnsi" w:cstheme="majorHAnsi"/>
          <w:color w:val="000000"/>
          <w:szCs w:val="24"/>
        </w:rPr>
        <w:t>Being treated fairly when p</w:t>
      </w:r>
      <w:r w:rsidR="00F075FC" w:rsidRPr="004E4F48">
        <w:rPr>
          <w:rFonts w:asciiTheme="majorHAnsi" w:hAnsiTheme="majorHAnsi" w:cstheme="majorHAnsi"/>
          <w:color w:val="000000"/>
          <w:szCs w:val="24"/>
        </w:rPr>
        <w:t>rovid</w:t>
      </w:r>
      <w:r w:rsidR="00F075FC">
        <w:rPr>
          <w:rFonts w:asciiTheme="majorHAnsi" w:hAnsiTheme="majorHAnsi" w:cstheme="majorHAnsi"/>
          <w:color w:val="000000"/>
          <w:szCs w:val="24"/>
        </w:rPr>
        <w:t>ing</w:t>
      </w:r>
      <w:r w:rsidR="00F075FC" w:rsidRPr="004E4F48">
        <w:rPr>
          <w:rFonts w:asciiTheme="majorHAnsi" w:hAnsiTheme="majorHAnsi" w:cstheme="majorHAnsi"/>
          <w:color w:val="000000"/>
          <w:szCs w:val="24"/>
        </w:rPr>
        <w:t xml:space="preserve"> feedback</w:t>
      </w:r>
      <w:r>
        <w:rPr>
          <w:rFonts w:asciiTheme="majorHAnsi" w:hAnsiTheme="majorHAnsi" w:cstheme="majorHAnsi"/>
          <w:color w:val="000000"/>
          <w:szCs w:val="24"/>
        </w:rPr>
        <w:t>, and receiving a timely, transparent response</w:t>
      </w:r>
    </w:p>
    <w:p w14:paraId="49CBC145" w14:textId="77777777" w:rsidR="002C1490" w:rsidRDefault="002C1490" w:rsidP="002C1490">
      <w:pPr>
        <w:rPr>
          <w:rFonts w:asciiTheme="majorHAnsi" w:hAnsiTheme="majorHAnsi" w:cstheme="majorHAnsi"/>
          <w:color w:val="000000"/>
          <w:szCs w:val="24"/>
        </w:rPr>
      </w:pPr>
    </w:p>
    <w:p w14:paraId="0800CDC7" w14:textId="701FF571" w:rsidR="00174ADD" w:rsidRPr="00172B2C" w:rsidRDefault="002C1490" w:rsidP="002C1490">
      <w:pPr>
        <w:rPr>
          <w:rFonts w:asciiTheme="majorHAnsi" w:hAnsiTheme="majorHAnsi" w:cstheme="majorHAnsi"/>
          <w:color w:val="000000"/>
          <w:szCs w:val="24"/>
        </w:rPr>
      </w:pPr>
      <w:r>
        <w:rPr>
          <w:rFonts w:asciiTheme="majorHAnsi" w:hAnsiTheme="majorHAnsi" w:cstheme="majorHAnsi"/>
          <w:color w:val="000000"/>
          <w:szCs w:val="24"/>
        </w:rPr>
        <w:t>The Charter</w:t>
      </w:r>
      <w:r w:rsidR="00174ADD" w:rsidRPr="00172B2C">
        <w:rPr>
          <w:rFonts w:asciiTheme="majorHAnsi" w:hAnsiTheme="majorHAnsi" w:cstheme="majorHAnsi"/>
          <w:color w:val="000000"/>
          <w:szCs w:val="24"/>
        </w:rPr>
        <w:t xml:space="preserve"> also</w:t>
      </w:r>
      <w:r w:rsidR="00B565A7" w:rsidRPr="00172B2C">
        <w:rPr>
          <w:rFonts w:asciiTheme="majorHAnsi" w:hAnsiTheme="majorHAnsi" w:cstheme="majorHAnsi"/>
          <w:color w:val="000000"/>
          <w:szCs w:val="24"/>
        </w:rPr>
        <w:t xml:space="preserve"> provides key contacts for</w:t>
      </w:r>
      <w:r w:rsidR="00174ADD" w:rsidRPr="00172B2C">
        <w:rPr>
          <w:rFonts w:asciiTheme="majorHAnsi" w:hAnsiTheme="majorHAnsi" w:cstheme="majorHAnsi"/>
          <w:color w:val="000000"/>
          <w:szCs w:val="24"/>
        </w:rPr>
        <w:t xml:space="preserve"> consumers on how to take things further if they believe their rights are not met. </w:t>
      </w:r>
    </w:p>
    <w:p w14:paraId="21F789FC" w14:textId="77777777" w:rsidR="00174ADD" w:rsidRDefault="00174ADD" w:rsidP="00174ADD">
      <w:pPr>
        <w:rPr>
          <w:rFonts w:asciiTheme="majorHAnsi" w:hAnsiTheme="majorHAnsi" w:cstheme="majorHAnsi"/>
          <w:color w:val="000000"/>
          <w:szCs w:val="24"/>
        </w:rPr>
      </w:pPr>
    </w:p>
    <w:p w14:paraId="30753EB9" w14:textId="06E008D0" w:rsidR="00174ADD" w:rsidRDefault="00174ADD" w:rsidP="00174ADD">
      <w:pPr>
        <w:rPr>
          <w:rFonts w:asciiTheme="majorHAnsi" w:hAnsiTheme="majorHAnsi" w:cstheme="majorHAnsi"/>
          <w:color w:val="000000"/>
          <w:szCs w:val="24"/>
        </w:rPr>
      </w:pPr>
      <w:r>
        <w:rPr>
          <w:rFonts w:asciiTheme="majorHAnsi" w:hAnsiTheme="majorHAnsi" w:cstheme="majorHAnsi"/>
          <w:color w:val="000000"/>
          <w:szCs w:val="24"/>
        </w:rPr>
        <w:lastRenderedPageBreak/>
        <w:t xml:space="preserve">“Those present were particularly vocal around the issue of access to healthcare and what </w:t>
      </w:r>
      <w:r w:rsidR="002C1490">
        <w:rPr>
          <w:rFonts w:asciiTheme="majorHAnsi" w:hAnsiTheme="majorHAnsi" w:cstheme="majorHAnsi"/>
          <w:color w:val="000000"/>
          <w:szCs w:val="24"/>
        </w:rPr>
        <w:t xml:space="preserve">is </w:t>
      </w:r>
      <w:r>
        <w:rPr>
          <w:rFonts w:asciiTheme="majorHAnsi" w:hAnsiTheme="majorHAnsi" w:cstheme="majorHAnsi"/>
          <w:color w:val="000000"/>
          <w:szCs w:val="24"/>
        </w:rPr>
        <w:t xml:space="preserve">being done to ensure that </w:t>
      </w:r>
      <w:r w:rsidR="002C1490">
        <w:rPr>
          <w:rFonts w:asciiTheme="majorHAnsi" w:hAnsiTheme="majorHAnsi" w:cstheme="majorHAnsi"/>
          <w:color w:val="000000"/>
          <w:szCs w:val="24"/>
        </w:rPr>
        <w:t>people working in</w:t>
      </w:r>
      <w:r>
        <w:rPr>
          <w:rFonts w:asciiTheme="majorHAnsi" w:hAnsiTheme="majorHAnsi" w:cstheme="majorHAnsi"/>
          <w:color w:val="000000"/>
          <w:szCs w:val="24"/>
        </w:rPr>
        <w:t xml:space="preserve"> the health system understand and practise the Charter”, Mr Levett said.</w:t>
      </w:r>
    </w:p>
    <w:p w14:paraId="1CF3FF33" w14:textId="77777777" w:rsidR="00174ADD" w:rsidRDefault="00174ADD" w:rsidP="00174ADD">
      <w:pPr>
        <w:rPr>
          <w:rFonts w:asciiTheme="majorHAnsi" w:hAnsiTheme="majorHAnsi" w:cstheme="majorHAnsi"/>
          <w:color w:val="000000"/>
          <w:szCs w:val="24"/>
        </w:rPr>
      </w:pPr>
    </w:p>
    <w:p w14:paraId="5791FFA6" w14:textId="48F20DD5" w:rsidR="00174ADD" w:rsidRPr="00387347" w:rsidRDefault="00174ADD" w:rsidP="00174ADD">
      <w:pPr>
        <w:rPr>
          <w:rFonts w:asciiTheme="majorHAnsi" w:hAnsiTheme="majorHAnsi" w:cstheme="majorHAnsi"/>
        </w:rPr>
      </w:pPr>
      <w:r>
        <w:rPr>
          <w:rFonts w:asciiTheme="majorHAnsi" w:hAnsiTheme="majorHAnsi" w:cstheme="majorHAnsi"/>
          <w:color w:val="000000"/>
          <w:szCs w:val="24"/>
        </w:rPr>
        <w:t xml:space="preserve">There was also substantial discussion on how the community can be better informed about their health care rights. </w:t>
      </w:r>
      <w:r w:rsidRPr="00387347">
        <w:rPr>
          <w:rFonts w:asciiTheme="majorHAnsi" w:hAnsiTheme="majorHAnsi" w:cstheme="majorHAnsi"/>
          <w:color w:val="000000"/>
          <w:szCs w:val="24"/>
        </w:rPr>
        <w:t xml:space="preserve">Emma </w:t>
      </w:r>
      <w:r w:rsidRPr="00387347">
        <w:rPr>
          <w:rFonts w:asciiTheme="majorHAnsi" w:hAnsiTheme="majorHAnsi" w:cstheme="majorHAnsi"/>
        </w:rPr>
        <w:t xml:space="preserve">Shanahan from the Tasmanian Aboriginal Centre </w:t>
      </w:r>
      <w:r>
        <w:rPr>
          <w:rFonts w:asciiTheme="majorHAnsi" w:hAnsiTheme="majorHAnsi" w:cstheme="majorHAnsi"/>
        </w:rPr>
        <w:t>said</w:t>
      </w:r>
      <w:r w:rsidRPr="00387347">
        <w:rPr>
          <w:rFonts w:asciiTheme="majorHAnsi" w:hAnsiTheme="majorHAnsi" w:cstheme="majorHAnsi"/>
        </w:rPr>
        <w:t xml:space="preserve"> "Attending today is important to me as an individual health care consumer, </w:t>
      </w:r>
      <w:r w:rsidR="00DD14DC">
        <w:rPr>
          <w:rFonts w:asciiTheme="majorHAnsi" w:hAnsiTheme="majorHAnsi" w:cstheme="majorHAnsi"/>
        </w:rPr>
        <w:t>and</w:t>
      </w:r>
      <w:r w:rsidRPr="00387347">
        <w:rPr>
          <w:rFonts w:asciiTheme="majorHAnsi" w:hAnsiTheme="majorHAnsi" w:cstheme="majorHAnsi"/>
        </w:rPr>
        <w:t xml:space="preserve"> it's also about </w:t>
      </w:r>
      <w:r w:rsidR="00DD14DC">
        <w:rPr>
          <w:rFonts w:asciiTheme="majorHAnsi" w:hAnsiTheme="majorHAnsi" w:cstheme="majorHAnsi"/>
        </w:rPr>
        <w:t xml:space="preserve">enacting the Charter </w:t>
      </w:r>
      <w:r w:rsidRPr="00387347">
        <w:rPr>
          <w:rFonts w:asciiTheme="majorHAnsi" w:hAnsiTheme="majorHAnsi" w:cstheme="majorHAnsi"/>
        </w:rPr>
        <w:t>as an organisation that delivers healthcare services, so we can empower our clients with an understanding of their rights"</w:t>
      </w:r>
    </w:p>
    <w:p w14:paraId="17095F05" w14:textId="77777777" w:rsidR="00174ADD" w:rsidRPr="00E43ADE" w:rsidRDefault="00174ADD" w:rsidP="00174ADD">
      <w:pPr>
        <w:rPr>
          <w:rFonts w:asciiTheme="majorHAnsi" w:hAnsiTheme="majorHAnsi" w:cstheme="majorHAnsi"/>
          <w:color w:val="000000"/>
          <w:szCs w:val="24"/>
        </w:rPr>
      </w:pPr>
    </w:p>
    <w:p w14:paraId="22EC01A5" w14:textId="77777777" w:rsidR="00DD14DC" w:rsidRDefault="00DD14DC" w:rsidP="00DD14DC">
      <w:pPr>
        <w:rPr>
          <w:rFonts w:asciiTheme="majorHAnsi" w:hAnsiTheme="majorHAnsi" w:cstheme="majorHAnsi"/>
          <w:bCs/>
          <w:color w:val="121212"/>
          <w:szCs w:val="24"/>
          <w:shd w:val="clear" w:color="auto" w:fill="FFFFFF"/>
        </w:rPr>
      </w:pPr>
      <w:r>
        <w:rPr>
          <w:rFonts w:asciiTheme="majorHAnsi" w:hAnsiTheme="majorHAnsi" w:cstheme="majorHAnsi"/>
          <w:bCs/>
          <w:color w:val="121212"/>
          <w:szCs w:val="24"/>
          <w:shd w:val="clear" w:color="auto" w:fill="FFFFFF"/>
        </w:rPr>
        <w:t xml:space="preserve">Mr Levett </w:t>
      </w:r>
      <w:proofErr w:type="gramStart"/>
      <w:r>
        <w:rPr>
          <w:rFonts w:asciiTheme="majorHAnsi" w:hAnsiTheme="majorHAnsi" w:cstheme="majorHAnsi"/>
          <w:bCs/>
          <w:color w:val="121212"/>
          <w:szCs w:val="24"/>
          <w:shd w:val="clear" w:color="auto" w:fill="FFFFFF"/>
        </w:rPr>
        <w:t>said</w:t>
      </w:r>
      <w:proofErr w:type="gramEnd"/>
      <w:r>
        <w:rPr>
          <w:rFonts w:asciiTheme="majorHAnsi" w:hAnsiTheme="majorHAnsi" w:cstheme="majorHAnsi"/>
          <w:bCs/>
          <w:color w:val="121212"/>
          <w:szCs w:val="24"/>
          <w:shd w:val="clear" w:color="auto" w:fill="FFFFFF"/>
        </w:rPr>
        <w:t xml:space="preserve"> “I encourage everyone to take a look at the Charter and share their impressions.” </w:t>
      </w:r>
    </w:p>
    <w:p w14:paraId="526E5731" w14:textId="77777777" w:rsidR="00174ADD" w:rsidRDefault="00174ADD" w:rsidP="00174ADD">
      <w:pPr>
        <w:rPr>
          <w:rFonts w:asciiTheme="majorHAnsi" w:hAnsiTheme="majorHAnsi" w:cstheme="majorHAnsi"/>
          <w:color w:val="000000"/>
          <w:szCs w:val="24"/>
        </w:rPr>
      </w:pPr>
    </w:p>
    <w:p w14:paraId="08484522" w14:textId="350FB456" w:rsidR="00174ADD" w:rsidRPr="00E62B5A" w:rsidRDefault="00174ADD" w:rsidP="00174ADD">
      <w:pPr>
        <w:rPr>
          <w:rFonts w:asciiTheme="majorHAnsi" w:hAnsiTheme="majorHAnsi" w:cstheme="majorHAnsi"/>
          <w:color w:val="000000"/>
          <w:szCs w:val="24"/>
        </w:rPr>
      </w:pPr>
      <w:r>
        <w:rPr>
          <w:rFonts w:asciiTheme="majorHAnsi" w:hAnsiTheme="majorHAnsi" w:cstheme="majorHAnsi"/>
          <w:color w:val="000000"/>
          <w:szCs w:val="24"/>
        </w:rPr>
        <w:t>“It’s about empowering consumers to be active and to fully engage with the healthcare system so they can be fully involved in the planning and decision making about their own health care”.</w:t>
      </w:r>
    </w:p>
    <w:p w14:paraId="15942661" w14:textId="77777777" w:rsidR="002C1490" w:rsidRDefault="002C1490" w:rsidP="00174ADD">
      <w:pPr>
        <w:rPr>
          <w:rFonts w:asciiTheme="majorHAnsi" w:hAnsiTheme="majorHAnsi" w:cstheme="majorHAnsi"/>
          <w:bCs/>
          <w:color w:val="121212"/>
          <w:szCs w:val="24"/>
          <w:shd w:val="clear" w:color="auto" w:fill="FFFFFF"/>
        </w:rPr>
      </w:pPr>
    </w:p>
    <w:p w14:paraId="73219E47" w14:textId="2C19EE96" w:rsidR="00A661AC" w:rsidRPr="00387347" w:rsidRDefault="00A661AC" w:rsidP="00174ADD">
      <w:pPr>
        <w:rPr>
          <w:rFonts w:asciiTheme="majorHAnsi" w:hAnsiTheme="majorHAnsi" w:cstheme="majorHAnsi"/>
          <w:bCs/>
          <w:color w:val="121212"/>
          <w:szCs w:val="24"/>
          <w:shd w:val="clear" w:color="auto" w:fill="FFFFFF"/>
        </w:rPr>
      </w:pPr>
      <w:r>
        <w:rPr>
          <w:rFonts w:asciiTheme="majorHAnsi" w:hAnsiTheme="majorHAnsi" w:cstheme="majorHAnsi"/>
          <w:bCs/>
          <w:color w:val="121212"/>
          <w:szCs w:val="24"/>
          <w:shd w:val="clear" w:color="auto" w:fill="FFFFFF"/>
        </w:rPr>
        <w:t xml:space="preserve">The Charter can be found by visiting </w:t>
      </w:r>
      <w:r>
        <w:t>www.</w:t>
      </w:r>
      <w:r w:rsidRPr="00A661AC">
        <w:t>shorturl.at/acsv2</w:t>
      </w:r>
    </w:p>
    <w:p w14:paraId="757B1F84" w14:textId="5A497C6F" w:rsidR="00174ADD" w:rsidRDefault="00174ADD" w:rsidP="00174ADD">
      <w:pPr>
        <w:rPr>
          <w:rFonts w:asciiTheme="majorHAnsi" w:hAnsiTheme="majorHAnsi" w:cstheme="majorHAnsi"/>
          <w:szCs w:val="24"/>
        </w:rPr>
      </w:pPr>
    </w:p>
    <w:p w14:paraId="2BE70F7A" w14:textId="77777777" w:rsidR="00A661AC" w:rsidRPr="00387347" w:rsidRDefault="00A661AC" w:rsidP="00174ADD">
      <w:pPr>
        <w:rPr>
          <w:rFonts w:asciiTheme="majorHAnsi" w:hAnsiTheme="majorHAnsi" w:cstheme="majorHAnsi"/>
          <w:szCs w:val="24"/>
        </w:rPr>
      </w:pPr>
    </w:p>
    <w:p w14:paraId="16CF9F93" w14:textId="77777777" w:rsidR="00174ADD" w:rsidRPr="00387347" w:rsidRDefault="00174ADD" w:rsidP="00174ADD">
      <w:pPr>
        <w:rPr>
          <w:rFonts w:asciiTheme="majorHAnsi" w:hAnsiTheme="majorHAnsi" w:cstheme="majorHAnsi"/>
          <w:szCs w:val="24"/>
        </w:rPr>
      </w:pPr>
    </w:p>
    <w:p w14:paraId="362998EE" w14:textId="77777777" w:rsidR="00174ADD" w:rsidRPr="00387347" w:rsidRDefault="00174ADD" w:rsidP="00174ADD">
      <w:pPr>
        <w:rPr>
          <w:rFonts w:asciiTheme="majorHAnsi" w:hAnsiTheme="majorHAnsi" w:cstheme="majorHAnsi"/>
          <w:szCs w:val="24"/>
        </w:rPr>
      </w:pPr>
    </w:p>
    <w:p w14:paraId="74DCA3B8" w14:textId="77777777" w:rsidR="00174ADD" w:rsidRPr="00387347" w:rsidRDefault="00174ADD" w:rsidP="00174ADD">
      <w:pPr>
        <w:rPr>
          <w:rFonts w:asciiTheme="majorHAnsi" w:hAnsiTheme="majorHAnsi" w:cstheme="majorHAnsi"/>
          <w:szCs w:val="24"/>
        </w:rPr>
      </w:pPr>
      <w:r w:rsidRPr="00387347">
        <w:rPr>
          <w:rFonts w:asciiTheme="majorHAnsi" w:hAnsiTheme="majorHAnsi" w:cstheme="majorHAnsi"/>
          <w:szCs w:val="24"/>
        </w:rPr>
        <w:t>Health Consumers Tasmania</w:t>
      </w:r>
    </w:p>
    <w:p w14:paraId="4F81D210" w14:textId="77777777" w:rsidR="00174ADD" w:rsidRPr="00387347" w:rsidRDefault="00174ADD" w:rsidP="00174ADD">
      <w:pPr>
        <w:rPr>
          <w:rFonts w:asciiTheme="majorHAnsi" w:hAnsiTheme="majorHAnsi" w:cstheme="majorHAnsi"/>
          <w:szCs w:val="24"/>
        </w:rPr>
      </w:pPr>
      <w:r w:rsidRPr="00387347">
        <w:rPr>
          <w:rFonts w:asciiTheme="majorHAnsi" w:hAnsiTheme="majorHAnsi" w:cstheme="majorHAnsi"/>
          <w:szCs w:val="24"/>
        </w:rPr>
        <w:t>Bruce Levett, Chief Executive Officer</w:t>
      </w:r>
    </w:p>
    <w:p w14:paraId="42649258" w14:textId="77777777" w:rsidR="00174ADD" w:rsidRPr="00387347" w:rsidRDefault="00174ADD" w:rsidP="00174ADD">
      <w:pPr>
        <w:rPr>
          <w:rFonts w:asciiTheme="majorHAnsi" w:hAnsiTheme="majorHAnsi" w:cstheme="majorHAnsi"/>
          <w:szCs w:val="24"/>
        </w:rPr>
      </w:pPr>
      <w:r w:rsidRPr="00387347">
        <w:rPr>
          <w:rFonts w:asciiTheme="majorHAnsi" w:hAnsiTheme="majorHAnsi" w:cstheme="majorHAnsi"/>
          <w:szCs w:val="24"/>
        </w:rPr>
        <w:t xml:space="preserve">Email: </w:t>
      </w:r>
      <w:hyperlink r:id="rId10" w:history="1">
        <w:r w:rsidRPr="00387347">
          <w:rPr>
            <w:rStyle w:val="Hyperlink"/>
            <w:rFonts w:asciiTheme="majorHAnsi" w:hAnsiTheme="majorHAnsi" w:cstheme="majorHAnsi"/>
            <w:szCs w:val="24"/>
          </w:rPr>
          <w:t>b.levett@chf.org.au</w:t>
        </w:r>
      </w:hyperlink>
    </w:p>
    <w:p w14:paraId="274F0E57" w14:textId="77777777" w:rsidR="00174ADD" w:rsidRPr="00387347" w:rsidRDefault="00174ADD" w:rsidP="00174ADD">
      <w:pPr>
        <w:rPr>
          <w:rFonts w:asciiTheme="majorHAnsi" w:hAnsiTheme="majorHAnsi" w:cstheme="majorHAnsi"/>
          <w:bCs/>
          <w:color w:val="121212"/>
          <w:szCs w:val="24"/>
          <w:shd w:val="clear" w:color="auto" w:fill="FFFFFF"/>
        </w:rPr>
      </w:pPr>
      <w:r w:rsidRPr="00387347">
        <w:rPr>
          <w:rFonts w:asciiTheme="majorHAnsi" w:hAnsiTheme="majorHAnsi" w:cstheme="majorHAnsi"/>
          <w:bCs/>
          <w:color w:val="121212"/>
          <w:szCs w:val="24"/>
          <w:shd w:val="clear" w:color="auto" w:fill="FFFFFF"/>
        </w:rPr>
        <w:t>Phone: 0418 503 126</w:t>
      </w:r>
    </w:p>
    <w:p w14:paraId="1EE5E750" w14:textId="77777777" w:rsidR="00174ADD" w:rsidRPr="00F350D3" w:rsidRDefault="00174ADD" w:rsidP="00174ADD">
      <w:pPr>
        <w:rPr>
          <w:rFonts w:asciiTheme="majorHAnsi" w:hAnsiTheme="majorHAnsi" w:cstheme="majorHAnsi"/>
          <w:bCs/>
          <w:color w:val="121212"/>
          <w:sz w:val="22"/>
          <w:szCs w:val="22"/>
          <w:shd w:val="clear" w:color="auto" w:fill="FFFFFF"/>
        </w:rPr>
      </w:pPr>
    </w:p>
    <w:p w14:paraId="48F0032B" w14:textId="77777777" w:rsidR="004F63FA" w:rsidRDefault="004E200D"/>
    <w:sectPr w:rsidR="004F63FA" w:rsidSect="00174ADD">
      <w:headerReference w:type="first" r:id="rId11"/>
      <w:pgSz w:w="11907" w:h="16840" w:code="9"/>
      <w:pgMar w:top="567" w:right="851" w:bottom="567" w:left="851" w:header="567" w:footer="28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0459" w14:textId="77777777" w:rsidR="00F672FA" w:rsidRDefault="00F672FA">
      <w:r>
        <w:separator/>
      </w:r>
    </w:p>
  </w:endnote>
  <w:endnote w:type="continuationSeparator" w:id="0">
    <w:p w14:paraId="4C4BC5AD" w14:textId="77777777" w:rsidR="00F672FA" w:rsidRDefault="00F6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7BDB" w14:textId="77777777" w:rsidR="00F672FA" w:rsidRDefault="00F672FA">
      <w:r>
        <w:separator/>
      </w:r>
    </w:p>
  </w:footnote>
  <w:footnote w:type="continuationSeparator" w:id="0">
    <w:p w14:paraId="34736825" w14:textId="77777777" w:rsidR="00F672FA" w:rsidRDefault="00F6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59D4" w14:textId="77777777" w:rsidR="00E62B5A" w:rsidRDefault="00DD14DC">
    <w:r>
      <w:rPr>
        <w:rFonts w:ascii="Arial" w:hAnsi="Arial" w:cs="Arial"/>
        <w:b/>
        <w:noProof/>
        <w:szCs w:val="24"/>
      </w:rPr>
      <w:drawing>
        <wp:anchor distT="0" distB="0" distL="114300" distR="114300" simplePos="0" relativeHeight="251659264" behindDoc="1" locked="0" layoutInCell="1" allowOverlap="1" wp14:anchorId="38490486" wp14:editId="643F60B8">
          <wp:simplePos x="0" y="0"/>
          <wp:positionH relativeFrom="column">
            <wp:posOffset>2040255</wp:posOffset>
          </wp:positionH>
          <wp:positionV relativeFrom="paragraph">
            <wp:posOffset>213360</wp:posOffset>
          </wp:positionV>
          <wp:extent cx="3038475" cy="138484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3 .jpg"/>
                  <pic:cNvPicPr/>
                </pic:nvPicPr>
                <pic:blipFill>
                  <a:blip r:embed="rId1"/>
                  <a:stretch>
                    <a:fillRect/>
                  </a:stretch>
                </pic:blipFill>
                <pic:spPr>
                  <a:xfrm>
                    <a:off x="0" y="0"/>
                    <a:ext cx="3038475" cy="1384840"/>
                  </a:xfrm>
                  <a:prstGeom prst="rect">
                    <a:avLst/>
                  </a:prstGeom>
                </pic:spPr>
              </pic:pic>
            </a:graphicData>
          </a:graphic>
          <wp14:sizeRelH relativeFrom="page">
            <wp14:pctWidth>0</wp14:pctWidth>
          </wp14:sizeRelH>
          <wp14:sizeRelV relativeFrom="page">
            <wp14:pctHeight>0</wp14:pctHeight>
          </wp14:sizeRelV>
        </wp:anchor>
      </w:drawing>
    </w:r>
  </w:p>
  <w:tbl>
    <w:tblPr>
      <w:tblW w:w="11199" w:type="dxa"/>
      <w:tblInd w:w="-318" w:type="dxa"/>
      <w:tblLayout w:type="fixed"/>
      <w:tblLook w:val="0000" w:firstRow="0" w:lastRow="0" w:firstColumn="0" w:lastColumn="0" w:noHBand="0" w:noVBand="0"/>
    </w:tblPr>
    <w:tblGrid>
      <w:gridCol w:w="11199"/>
    </w:tblGrid>
    <w:tr w:rsidR="00001D7B" w14:paraId="568DA605" w14:textId="77777777">
      <w:tc>
        <w:tcPr>
          <w:tcW w:w="11199" w:type="dxa"/>
        </w:tcPr>
        <w:p w14:paraId="34A91B6B" w14:textId="77777777" w:rsidR="00001D7B" w:rsidRPr="008832E4" w:rsidRDefault="00DD14DC" w:rsidP="00E62B5A">
          <w:pPr>
            <w:tabs>
              <w:tab w:val="left" w:pos="3240"/>
            </w:tabs>
            <w:ind w:left="34"/>
            <w:rPr>
              <w:rFonts w:ascii="Tahoma" w:hAnsi="Tahoma" w:cs="Tahoma"/>
              <w:sz w:val="18"/>
              <w:szCs w:val="18"/>
            </w:rPr>
          </w:pPr>
          <w:r>
            <w:rPr>
              <w:rFonts w:ascii="Tahoma" w:hAnsi="Tahoma" w:cs="Tahoma"/>
              <w:sz w:val="18"/>
              <w:szCs w:val="18"/>
            </w:rPr>
            <w:tab/>
          </w:r>
        </w:p>
      </w:tc>
    </w:tr>
  </w:tbl>
  <w:p w14:paraId="1326F8F8" w14:textId="77777777" w:rsidR="00001D7B" w:rsidRPr="001C58EE" w:rsidRDefault="004E200D" w:rsidP="008F0A7F">
    <w:pPr>
      <w:ind w:right="76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64A2"/>
    <w:multiLevelType w:val="hybridMultilevel"/>
    <w:tmpl w:val="83B42FD6"/>
    <w:lvl w:ilvl="0" w:tplc="1D049A6A">
      <w:start w:val="1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DD"/>
    <w:rsid w:val="00172B2C"/>
    <w:rsid w:val="00174ADD"/>
    <w:rsid w:val="002C1490"/>
    <w:rsid w:val="004E200D"/>
    <w:rsid w:val="00790915"/>
    <w:rsid w:val="00907751"/>
    <w:rsid w:val="00A661AC"/>
    <w:rsid w:val="00B565A7"/>
    <w:rsid w:val="00C51EC1"/>
    <w:rsid w:val="00DD14DC"/>
    <w:rsid w:val="00F075FC"/>
    <w:rsid w:val="00F67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E63"/>
  <w15:chartTrackingRefBased/>
  <w15:docId w15:val="{B427F043-038A-4781-A606-044DAA9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4ADD"/>
    <w:rPr>
      <w:color w:val="0000FF"/>
      <w:u w:val="single"/>
    </w:rPr>
  </w:style>
  <w:style w:type="paragraph" w:styleId="BalloonText">
    <w:name w:val="Balloon Text"/>
    <w:basedOn w:val="Normal"/>
    <w:link w:val="BalloonTextChar"/>
    <w:uiPriority w:val="99"/>
    <w:semiHidden/>
    <w:unhideWhenUsed/>
    <w:rsid w:val="00174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D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4ADD"/>
    <w:rPr>
      <w:sz w:val="16"/>
      <w:szCs w:val="16"/>
    </w:rPr>
  </w:style>
  <w:style w:type="paragraph" w:styleId="CommentText">
    <w:name w:val="annotation text"/>
    <w:basedOn w:val="Normal"/>
    <w:link w:val="CommentTextChar"/>
    <w:uiPriority w:val="99"/>
    <w:semiHidden/>
    <w:unhideWhenUsed/>
    <w:rsid w:val="00174ADD"/>
    <w:rPr>
      <w:sz w:val="20"/>
    </w:rPr>
  </w:style>
  <w:style w:type="character" w:customStyle="1" w:styleId="CommentTextChar">
    <w:name w:val="Comment Text Char"/>
    <w:basedOn w:val="DefaultParagraphFont"/>
    <w:link w:val="CommentText"/>
    <w:uiPriority w:val="99"/>
    <w:semiHidden/>
    <w:rsid w:val="00174A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4ADD"/>
    <w:rPr>
      <w:b/>
      <w:bCs/>
    </w:rPr>
  </w:style>
  <w:style w:type="character" w:customStyle="1" w:styleId="CommentSubjectChar">
    <w:name w:val="Comment Subject Char"/>
    <w:basedOn w:val="CommentTextChar"/>
    <w:link w:val="CommentSubject"/>
    <w:uiPriority w:val="99"/>
    <w:semiHidden/>
    <w:rsid w:val="00174ADD"/>
    <w:rPr>
      <w:rFonts w:ascii="Times New Roman" w:eastAsia="Times New Roman" w:hAnsi="Times New Roman" w:cs="Times New Roman"/>
      <w:b/>
      <w:bCs/>
      <w:sz w:val="20"/>
      <w:szCs w:val="20"/>
    </w:rPr>
  </w:style>
  <w:style w:type="paragraph" w:styleId="ListParagraph">
    <w:name w:val="List Paragraph"/>
    <w:basedOn w:val="Normal"/>
    <w:uiPriority w:val="34"/>
    <w:qFormat/>
    <w:rsid w:val="00F0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64AC7-A14A-4916-9962-539732419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01EEC-C508-49D3-8D73-FA5DF87DD353}">
  <ds:schemaRefs>
    <ds:schemaRef ds:uri="http://schemas.microsoft.com/sharepoint/v3/contenttype/forms"/>
  </ds:schemaRefs>
</ds:datastoreItem>
</file>

<file path=customXml/itemProps3.xml><?xml version="1.0" encoding="utf-8"?>
<ds:datastoreItem xmlns:ds="http://schemas.openxmlformats.org/officeDocument/2006/customXml" ds:itemID="{E378937D-B4DF-4F24-AE04-2AD09E8BE0A3}"/>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Fletcher</dc:creator>
  <cp:keywords/>
  <dc:description/>
  <cp:lastModifiedBy>Steph</cp:lastModifiedBy>
  <cp:revision>2</cp:revision>
  <dcterms:created xsi:type="dcterms:W3CDTF">2021-04-14T23:23:00Z</dcterms:created>
  <dcterms:modified xsi:type="dcterms:W3CDTF">2021-04-14T23:23:00Z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